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jc w:val="center"/>
        <w:rPr>
          <w:rFonts w:ascii="方正小标宋简体" w:eastAsia="方正小标宋简体"/>
          <w:bCs/>
          <w:sz w:val="36"/>
          <w:szCs w:val="36"/>
        </w:rPr>
      </w:pPr>
      <w:r>
        <w:rPr>
          <w:rFonts w:hint="eastAsia" w:ascii="方正小标宋简体" w:eastAsia="方正小标宋简体"/>
          <w:bCs/>
          <w:sz w:val="36"/>
          <w:szCs w:val="36"/>
        </w:rPr>
        <w:t>中山大学商铺招租评审指南</w:t>
      </w:r>
    </w:p>
    <w:p>
      <w:pPr>
        <w:widowControl/>
        <w:spacing w:line="400" w:lineRule="exact"/>
        <w:rPr>
          <w:rFonts w:eastAsia="仿宋_GB2312"/>
          <w:b/>
          <w:bCs/>
          <w:sz w:val="30"/>
          <w:szCs w:val="30"/>
        </w:rPr>
      </w:pPr>
    </w:p>
    <w:p>
      <w:pPr>
        <w:widowControl/>
        <w:spacing w:line="480" w:lineRule="exact"/>
        <w:ind w:firstLine="560" w:firstLineChars="200"/>
        <w:rPr>
          <w:rFonts w:eastAsia="仿宋_GB2312"/>
          <w:bCs/>
          <w:sz w:val="28"/>
          <w:szCs w:val="28"/>
        </w:rPr>
      </w:pPr>
      <w:r>
        <w:rPr>
          <w:rFonts w:eastAsia="仿宋_GB2312"/>
          <w:bCs/>
          <w:sz w:val="28"/>
          <w:szCs w:val="28"/>
        </w:rPr>
        <w:t>根据</w:t>
      </w:r>
      <w:r>
        <w:rPr>
          <w:rFonts w:hint="eastAsia" w:eastAsia="仿宋_GB2312"/>
          <w:bCs/>
          <w:sz w:val="28"/>
          <w:szCs w:val="28"/>
        </w:rPr>
        <w:t>国家相关法律法规以及学校</w:t>
      </w:r>
      <w:r>
        <w:rPr>
          <w:rFonts w:eastAsia="仿宋_GB2312"/>
          <w:bCs/>
          <w:sz w:val="28"/>
          <w:szCs w:val="28"/>
        </w:rPr>
        <w:t>的</w:t>
      </w:r>
      <w:r>
        <w:rPr>
          <w:rFonts w:hint="eastAsia" w:eastAsia="仿宋_GB2312"/>
          <w:bCs/>
          <w:sz w:val="28"/>
          <w:szCs w:val="28"/>
        </w:rPr>
        <w:t>有关规定，</w:t>
      </w:r>
      <w:r>
        <w:rPr>
          <w:rFonts w:eastAsia="仿宋_GB2312"/>
          <w:bCs/>
          <w:sz w:val="28"/>
          <w:szCs w:val="28"/>
        </w:rPr>
        <w:t>结合</w:t>
      </w:r>
      <w:r>
        <w:rPr>
          <w:rFonts w:hint="eastAsia" w:eastAsia="仿宋_GB2312"/>
          <w:bCs/>
          <w:sz w:val="28"/>
          <w:szCs w:val="28"/>
        </w:rPr>
        <w:t>中山大学经营性</w:t>
      </w:r>
      <w:r>
        <w:rPr>
          <w:rFonts w:eastAsia="仿宋_GB2312"/>
          <w:bCs/>
          <w:sz w:val="28"/>
          <w:szCs w:val="28"/>
        </w:rPr>
        <w:t>用房规划</w:t>
      </w:r>
      <w:r>
        <w:rPr>
          <w:rFonts w:hint="eastAsia" w:eastAsia="仿宋_GB2312"/>
          <w:bCs/>
          <w:sz w:val="28"/>
          <w:szCs w:val="28"/>
        </w:rPr>
        <w:t>和</w:t>
      </w:r>
      <w:r>
        <w:rPr>
          <w:rFonts w:eastAsia="仿宋_GB2312"/>
          <w:bCs/>
          <w:sz w:val="28"/>
          <w:szCs w:val="28"/>
        </w:rPr>
        <w:t>招租的</w:t>
      </w:r>
      <w:r>
        <w:rPr>
          <w:rFonts w:hint="eastAsia" w:eastAsia="仿宋_GB2312"/>
          <w:bCs/>
          <w:sz w:val="28"/>
          <w:szCs w:val="28"/>
        </w:rPr>
        <w:t>实际</w:t>
      </w:r>
      <w:r>
        <w:rPr>
          <w:rFonts w:eastAsia="仿宋_GB2312"/>
          <w:bCs/>
          <w:sz w:val="28"/>
          <w:szCs w:val="28"/>
        </w:rPr>
        <w:t>需要</w:t>
      </w:r>
      <w:r>
        <w:rPr>
          <w:rFonts w:hint="eastAsia" w:eastAsia="仿宋_GB2312"/>
          <w:bCs/>
          <w:sz w:val="28"/>
          <w:szCs w:val="28"/>
        </w:rPr>
        <w:t>，</w:t>
      </w:r>
      <w:r>
        <w:rPr>
          <w:rFonts w:eastAsia="仿宋_GB2312"/>
          <w:bCs/>
          <w:sz w:val="28"/>
          <w:szCs w:val="28"/>
        </w:rPr>
        <w:t>制定本</w:t>
      </w:r>
      <w:r>
        <w:rPr>
          <w:rFonts w:hint="eastAsia" w:eastAsia="仿宋_GB2312"/>
          <w:bCs/>
          <w:sz w:val="28"/>
          <w:szCs w:val="28"/>
        </w:rPr>
        <w:t>评审指南</w:t>
      </w:r>
      <w:r>
        <w:rPr>
          <w:rFonts w:eastAsia="仿宋_GB2312"/>
          <w:bCs/>
          <w:sz w:val="28"/>
          <w:szCs w:val="28"/>
        </w:rPr>
        <w:t>。</w:t>
      </w:r>
    </w:p>
    <w:p>
      <w:pPr>
        <w:widowControl/>
        <w:spacing w:line="480" w:lineRule="exact"/>
        <w:ind w:firstLine="560" w:firstLineChars="200"/>
        <w:rPr>
          <w:rFonts w:eastAsia="仿宋_GB2312"/>
          <w:bCs/>
          <w:sz w:val="28"/>
          <w:szCs w:val="28"/>
        </w:rPr>
      </w:pPr>
      <w:r>
        <w:rPr>
          <w:rFonts w:eastAsia="仿宋_GB2312"/>
          <w:bCs/>
          <w:sz w:val="28"/>
          <w:szCs w:val="28"/>
        </w:rPr>
        <w:t>本</w:t>
      </w:r>
      <w:r>
        <w:rPr>
          <w:rFonts w:hint="eastAsia" w:eastAsia="仿宋_GB2312"/>
          <w:bCs/>
          <w:sz w:val="28"/>
          <w:szCs w:val="28"/>
        </w:rPr>
        <w:t>评审指南</w:t>
      </w:r>
      <w:r>
        <w:rPr>
          <w:rFonts w:eastAsia="仿宋_GB2312"/>
          <w:bCs/>
          <w:sz w:val="28"/>
          <w:szCs w:val="28"/>
        </w:rPr>
        <w:t>适用于由</w:t>
      </w:r>
      <w:r>
        <w:rPr>
          <w:rFonts w:hint="eastAsia" w:eastAsia="仿宋_GB2312"/>
          <w:bCs/>
          <w:sz w:val="28"/>
          <w:szCs w:val="28"/>
        </w:rPr>
        <w:t>总务</w:t>
      </w:r>
      <w:r>
        <w:rPr>
          <w:rFonts w:eastAsia="仿宋_GB2312"/>
          <w:bCs/>
          <w:sz w:val="28"/>
          <w:szCs w:val="28"/>
        </w:rPr>
        <w:t>处</w:t>
      </w:r>
      <w:r>
        <w:rPr>
          <w:rFonts w:hint="eastAsia" w:eastAsia="仿宋_GB2312"/>
          <w:bCs/>
          <w:sz w:val="28"/>
          <w:szCs w:val="28"/>
        </w:rPr>
        <w:t>组织</w:t>
      </w:r>
      <w:r>
        <w:rPr>
          <w:rFonts w:eastAsia="仿宋_GB2312"/>
          <w:bCs/>
          <w:sz w:val="28"/>
          <w:szCs w:val="28"/>
        </w:rPr>
        <w:t>的中山大学各校区</w:t>
      </w:r>
      <w:r>
        <w:rPr>
          <w:rFonts w:hint="eastAsia" w:eastAsia="仿宋_GB2312"/>
          <w:bCs/>
          <w:sz w:val="28"/>
          <w:szCs w:val="28"/>
        </w:rPr>
        <w:t>商铺</w:t>
      </w:r>
      <w:r>
        <w:rPr>
          <w:rFonts w:eastAsia="仿宋_GB2312"/>
          <w:bCs/>
          <w:sz w:val="28"/>
          <w:szCs w:val="28"/>
        </w:rPr>
        <w:t>的招租</w:t>
      </w:r>
      <w:r>
        <w:rPr>
          <w:rFonts w:hint="eastAsia" w:eastAsia="仿宋_GB2312"/>
          <w:bCs/>
          <w:sz w:val="28"/>
          <w:szCs w:val="28"/>
        </w:rPr>
        <w:t>评审工作 。</w:t>
      </w:r>
    </w:p>
    <w:p>
      <w:pPr>
        <w:spacing w:line="480" w:lineRule="exact"/>
        <w:ind w:firstLine="562"/>
        <w:rPr>
          <w:rFonts w:eastAsia="仿宋_GB2312"/>
          <w:bCs/>
          <w:sz w:val="28"/>
          <w:szCs w:val="28"/>
        </w:rPr>
      </w:pPr>
      <w:r>
        <w:rPr>
          <w:rFonts w:hint="eastAsia" w:eastAsia="仿宋_GB2312"/>
          <w:b/>
          <w:bCs/>
          <w:sz w:val="28"/>
          <w:szCs w:val="28"/>
        </w:rPr>
        <w:t>1.</w:t>
      </w:r>
      <w:r>
        <w:rPr>
          <w:rFonts w:eastAsia="仿宋_GB2312"/>
          <w:b/>
          <w:bCs/>
          <w:sz w:val="28"/>
          <w:szCs w:val="28"/>
        </w:rPr>
        <w:t xml:space="preserve"> 评审原则</w:t>
      </w:r>
      <w:r>
        <w:rPr>
          <w:rFonts w:eastAsia="仿宋_GB2312"/>
          <w:bCs/>
          <w:sz w:val="28"/>
          <w:szCs w:val="28"/>
        </w:rPr>
        <w:t>：公开、公平、公正</w:t>
      </w:r>
      <w:r>
        <w:rPr>
          <w:rFonts w:hint="eastAsia" w:eastAsia="仿宋_GB2312"/>
          <w:bCs/>
          <w:sz w:val="28"/>
          <w:szCs w:val="28"/>
        </w:rPr>
        <w:t>。</w:t>
      </w:r>
      <w:r>
        <w:rPr>
          <w:rFonts w:eastAsia="仿宋_GB2312"/>
          <w:bCs/>
          <w:sz w:val="28"/>
          <w:szCs w:val="28"/>
        </w:rPr>
        <w:t xml:space="preserve"> </w:t>
      </w:r>
    </w:p>
    <w:p>
      <w:pPr>
        <w:ind w:firstLine="562"/>
      </w:pPr>
    </w:p>
    <w:p>
      <w:pPr>
        <w:spacing w:line="480" w:lineRule="exact"/>
        <w:ind w:firstLine="562" w:firstLineChars="200"/>
        <w:rPr>
          <w:rFonts w:eastAsia="仿宋_GB2312"/>
          <w:b/>
          <w:bCs/>
          <w:sz w:val="28"/>
          <w:szCs w:val="28"/>
        </w:rPr>
      </w:pPr>
      <w:r>
        <w:rPr>
          <w:rFonts w:hint="eastAsia" w:eastAsia="仿宋_GB2312"/>
          <w:b/>
          <w:bCs/>
          <w:sz w:val="28"/>
          <w:szCs w:val="28"/>
        </w:rPr>
        <w:t>2. 评审规则</w:t>
      </w:r>
    </w:p>
    <w:p>
      <w:pPr>
        <w:pStyle w:val="2"/>
        <w:adjustRightInd w:val="0"/>
        <w:snapToGrid w:val="0"/>
        <w:spacing w:before="0" w:after="0" w:line="480" w:lineRule="exact"/>
        <w:ind w:firstLine="560" w:firstLineChars="200"/>
        <w:rPr>
          <w:rFonts w:eastAsia="仿宋_GB2312"/>
          <w:b w:val="0"/>
          <w:sz w:val="28"/>
          <w:szCs w:val="28"/>
        </w:rPr>
      </w:pPr>
      <w:bookmarkStart w:id="0" w:name="_Toc235627108"/>
      <w:r>
        <w:rPr>
          <w:rFonts w:hint="eastAsia" w:eastAsia="仿宋_GB2312"/>
          <w:b w:val="0"/>
          <w:sz w:val="28"/>
          <w:szCs w:val="28"/>
        </w:rPr>
        <w:t>2.1 采用综合评分法，满分为100分。招租评审小组由相关职能部门人员、学生代表或教工代表组成，由监察处、财务与国资管理处参与现场监督。</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2.2. 评审步骤：</w:t>
      </w:r>
      <w:r>
        <w:rPr>
          <w:rFonts w:hint="eastAsia" w:eastAsia="仿宋_GB2312"/>
          <w:sz w:val="28"/>
          <w:szCs w:val="28"/>
        </w:rPr>
        <w:t>评审小组</w:t>
      </w:r>
      <w:r>
        <w:rPr>
          <w:rFonts w:hint="eastAsia" w:eastAsia="仿宋_GB2312"/>
          <w:bCs/>
          <w:sz w:val="28"/>
          <w:szCs w:val="28"/>
        </w:rPr>
        <w:t>首先对各申请人的申请资料进行有关符合性和资格性的初步评审，然后进行技术商务的详细评审，最后进行价格的详细评审。只有通过初步评审的申请才能进入技术商务和价格的详细评审。</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2.3 评分及统计：</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2.3.1按照招租文件、评审程序的规定、评分标准以及各项权重分配的规定，</w:t>
      </w:r>
      <w:r>
        <w:rPr>
          <w:rFonts w:hint="eastAsia" w:eastAsia="仿宋_GB2312"/>
          <w:sz w:val="28"/>
          <w:szCs w:val="28"/>
        </w:rPr>
        <w:t>评审小组</w:t>
      </w:r>
      <w:r>
        <w:rPr>
          <w:rFonts w:hint="eastAsia" w:eastAsia="仿宋_GB2312"/>
          <w:bCs/>
          <w:sz w:val="28"/>
          <w:szCs w:val="28"/>
        </w:rPr>
        <w:t>各成员分别首先就通过初步审查的各申请人的技术商务状况及其对招租文件要求的响应情况进行评议和比较，评出其技术商务评分。所有评委的技术商务的评分相加的算术平均值为该申请人的技术商务得分。</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2.3.2对各申请人进行价格评审，评审小组对各申请人的竞租报价进行核准、修正并按规定评出其价格评分。</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2.3.3将各申请人的技术商务得分和价格得分分别乘以权重并相加得出其综合得分。按综合得分高低次序排出名次（得分相同时价格高者列前；得分及价格均相同时，技术商务指标优者列前），推荐综合得分最高的投标人为第一中标候选人，综合得分次高的投标人为第二中标候选人。</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2.3.4各项评分均按四舍五入原则取值并保留小数点后两位有效数字。</w:t>
      </w:r>
    </w:p>
    <w:p>
      <w:pPr>
        <w:spacing w:line="480" w:lineRule="exact"/>
        <w:ind w:firstLine="562" w:firstLineChars="200"/>
        <w:rPr>
          <w:rStyle w:val="18"/>
          <w:rFonts w:eastAsia="仿宋_GB2312"/>
          <w:b/>
          <w:sz w:val="28"/>
          <w:szCs w:val="28"/>
        </w:rPr>
      </w:pPr>
      <w:r>
        <w:rPr>
          <w:rStyle w:val="18"/>
          <w:rFonts w:hint="eastAsia" w:eastAsia="仿宋_GB2312"/>
          <w:b/>
          <w:sz w:val="28"/>
          <w:szCs w:val="28"/>
        </w:rPr>
        <w:t>2.3.5低于最低租金限价的报价为无效报价。</w:t>
      </w:r>
    </w:p>
    <w:p>
      <w:pPr>
        <w:spacing w:line="480" w:lineRule="exact"/>
        <w:ind w:firstLine="562" w:firstLineChars="200"/>
        <w:rPr>
          <w:rStyle w:val="18"/>
          <w:rFonts w:eastAsia="仿宋_GB2312"/>
          <w:b/>
          <w:sz w:val="28"/>
          <w:szCs w:val="28"/>
        </w:rPr>
      </w:pPr>
      <w:r>
        <w:rPr>
          <w:rStyle w:val="18"/>
          <w:rFonts w:hint="eastAsia" w:eastAsia="仿宋_GB2312"/>
          <w:b/>
          <w:sz w:val="28"/>
          <w:szCs w:val="28"/>
        </w:rPr>
        <w:t>2.3.6为保证经营项目的服务质量，避免恶性竞争抬高商品供应价格，若租金报价高于租金最低限价的200%，报价人须对报价合理性（包括：人工成本、进货渠道及盈利构成等）作书面说明，不作说明或说明理由不充分的作无效报价处理。</w:t>
      </w:r>
    </w:p>
    <w:p>
      <w:pPr>
        <w:spacing w:line="480" w:lineRule="exact"/>
        <w:ind w:firstLine="562" w:firstLineChars="200"/>
        <w:rPr>
          <w:rStyle w:val="18"/>
          <w:rFonts w:eastAsia="仿宋_GB2312"/>
          <w:b/>
          <w:sz w:val="28"/>
          <w:szCs w:val="28"/>
        </w:rPr>
      </w:pPr>
    </w:p>
    <w:p>
      <w:pPr>
        <w:spacing w:line="480" w:lineRule="exact"/>
        <w:ind w:firstLine="562" w:firstLineChars="200"/>
        <w:rPr>
          <w:rFonts w:eastAsia="仿宋_GB2312"/>
          <w:b/>
          <w:bCs/>
          <w:sz w:val="28"/>
          <w:szCs w:val="28"/>
        </w:rPr>
      </w:pPr>
      <w:r>
        <w:rPr>
          <w:rFonts w:hint="eastAsia" w:eastAsia="仿宋_GB2312"/>
          <w:b/>
          <w:bCs/>
          <w:sz w:val="28"/>
          <w:szCs w:val="28"/>
        </w:rPr>
        <w:t>3. 评审办法</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3.1初步评审</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3.1.1初步评审规则：评审小组按照《初步审查表》（见表1）内容对申请文件进行资格性检查及符合性检查，只有对《初步审查表》（见表1）所列各项作出实质性响应的申请文件才能通过初步评审。对是否实质性响应招租文件的要求有争议的投标，评审小组将以记名方式表决，被认为响应的得票超过半数的申请人有资格进入下一阶段的评审，否则将被淘汰。</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3.1.2实质性响应的要求：评审小组要审查每份申请文件是否实质性响应了招租文件的要求。实质上响应的申请应该是与招租文件要求的全部条款、条件和规格相符合，没有重大偏离或保留的申请。所谓重大偏离或保留是指实质上影响采购的范围、质量和性能；或者实质上与招租文件不一致，而且限制了招租人的权利或申请人的义务；纠正这些偏离或保留将会对其他实质上响应要求的申请人的竞争地位产生不公正的影响。评审小组决定申请文件的响应性只根据申请文件本身的内容，而不寻找外部的证据。</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3.1.3无效申请的认定：按《初步审查表》（见表1）所列各项，评审小组认为申请文件不满足招租文件要求的，将被认定为无效申请。</w:t>
      </w:r>
    </w:p>
    <w:p>
      <w:pPr>
        <w:tabs>
          <w:tab w:val="left" w:pos="2460"/>
          <w:tab w:val="center" w:pos="4535"/>
        </w:tabs>
        <w:spacing w:line="360" w:lineRule="auto"/>
        <w:jc w:val="left"/>
        <w:rPr>
          <w:b/>
          <w:sz w:val="28"/>
        </w:rPr>
      </w:pPr>
      <w:r>
        <w:rPr>
          <w:rFonts w:ascii="宋体" w:hAnsi="宋体" w:cs="宋体"/>
          <w:b/>
          <w:sz w:val="28"/>
        </w:rPr>
        <w:tab/>
      </w:r>
      <w:r>
        <w:rPr>
          <w:rFonts w:ascii="宋体" w:hAnsi="宋体" w:cs="宋体"/>
          <w:b/>
          <w:sz w:val="28"/>
        </w:rPr>
        <w:t>表</w:t>
      </w:r>
      <w:r>
        <w:rPr>
          <w:rFonts w:hint="eastAsia" w:ascii="宋体" w:hAnsi="宋体" w:cs="宋体"/>
          <w:b/>
          <w:sz w:val="28"/>
        </w:rPr>
        <w:t>1</w:t>
      </w:r>
      <w:r>
        <w:rPr>
          <w:rFonts w:ascii="宋体" w:hAnsi="宋体" w:cs="宋体"/>
          <w:b/>
          <w:sz w:val="28"/>
        </w:rPr>
        <w:tab/>
      </w:r>
      <w:r>
        <w:rPr>
          <w:rFonts w:hint="eastAsia" w:ascii="宋体" w:hAnsi="宋体" w:cs="宋体"/>
          <w:b/>
          <w:sz w:val="28"/>
        </w:rPr>
        <w:t>初步审查表</w:t>
      </w:r>
    </w:p>
    <w:tbl>
      <w:tblPr>
        <w:tblStyle w:val="11"/>
        <w:tblW w:w="90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1382"/>
        <w:gridCol w:w="4336"/>
        <w:gridCol w:w="715"/>
        <w:gridCol w:w="715"/>
        <w:gridCol w:w="715"/>
        <w:gridCol w:w="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blHeader/>
        </w:trPr>
        <w:tc>
          <w:tcPr>
            <w:tcW w:w="42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b/>
                <w:szCs w:val="21"/>
              </w:rPr>
            </w:pPr>
            <w:r>
              <w:rPr>
                <w:rFonts w:hint="eastAsia"/>
                <w:b/>
                <w:szCs w:val="21"/>
              </w:rPr>
              <w:t>序号</w:t>
            </w:r>
          </w:p>
        </w:tc>
        <w:tc>
          <w:tcPr>
            <w:tcW w:w="5718" w:type="dxa"/>
            <w:gridSpan w:val="2"/>
            <w:tcBorders>
              <w:top w:val="single" w:color="auto" w:sz="4" w:space="0"/>
              <w:left w:val="single" w:color="auto" w:sz="4" w:space="0"/>
              <w:bottom w:val="single" w:color="auto" w:sz="4" w:space="0"/>
              <w:right w:val="single" w:color="auto" w:sz="4" w:space="0"/>
              <w:tl2br w:val="single" w:color="auto" w:sz="4" w:space="0"/>
            </w:tcBorders>
            <w:vAlign w:val="center"/>
          </w:tcPr>
          <w:p>
            <w:pPr>
              <w:ind w:right="360" w:firstLine="7305" w:firstLineChars="3479"/>
              <w:rPr>
                <w:szCs w:val="21"/>
              </w:rPr>
            </w:pPr>
            <w:r>
              <w:rPr>
                <w:rFonts w:hint="eastAsia"/>
                <w:szCs w:val="21"/>
              </w:rPr>
              <w:t>投申请人</w:t>
            </w:r>
          </w:p>
          <w:p>
            <w:pPr>
              <w:rPr>
                <w:szCs w:val="21"/>
              </w:rPr>
            </w:pPr>
            <w:r>
              <w:rPr>
                <w:rFonts w:hint="eastAsia"/>
                <w:b/>
                <w:szCs w:val="21"/>
              </w:rPr>
              <w:t>申请有效性审查项</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A</w:t>
            </w:r>
            <w:r>
              <w:rPr>
                <w:rFonts w:hint="eastAsia"/>
                <w:szCs w:val="21"/>
              </w:rPr>
              <w:t>申请人</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B</w:t>
            </w:r>
            <w:r>
              <w:rPr>
                <w:rFonts w:hint="eastAsia"/>
                <w:szCs w:val="21"/>
              </w:rPr>
              <w:t>申请人</w:t>
            </w:r>
          </w:p>
        </w:tc>
        <w:tc>
          <w:tcPr>
            <w:tcW w:w="715" w:type="dxa"/>
            <w:tcBorders>
              <w:top w:val="single" w:color="auto" w:sz="4" w:space="0"/>
              <w:left w:val="single" w:color="auto" w:sz="4" w:space="0"/>
              <w:bottom w:val="single" w:color="auto" w:sz="4" w:space="0"/>
              <w:right w:val="single" w:color="auto" w:sz="4" w:space="0"/>
            </w:tcBorders>
            <w:vAlign w:val="center"/>
          </w:tcPr>
          <w:p>
            <w:pPr>
              <w:tabs>
                <w:tab w:val="left" w:pos="8640"/>
              </w:tabs>
              <w:jc w:val="center"/>
              <w:rPr>
                <w:szCs w:val="21"/>
              </w:rPr>
            </w:pPr>
            <w:r>
              <w:rPr>
                <w:szCs w:val="21"/>
              </w:rPr>
              <w:t>C</w:t>
            </w:r>
            <w:r>
              <w:rPr>
                <w:rFonts w:hint="eastAsia"/>
                <w:szCs w:val="21"/>
              </w:rPr>
              <w:t>申请人</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D</w:t>
            </w:r>
            <w:r>
              <w:rPr>
                <w:rFonts w:hint="eastAsia"/>
                <w:szCs w:val="21"/>
              </w:rPr>
              <w:t>申请人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7" w:type="dxa"/>
            <w:tcBorders>
              <w:top w:val="single" w:color="auto" w:sz="4" w:space="0"/>
              <w:left w:val="single" w:color="auto" w:sz="4" w:space="0"/>
              <w:bottom w:val="single" w:color="auto" w:sz="4" w:space="0"/>
              <w:right w:val="single" w:color="auto" w:sz="4" w:space="0"/>
            </w:tcBorders>
            <w:vAlign w:val="center"/>
          </w:tcPr>
          <w:p>
            <w:pPr>
              <w:numPr>
                <w:ilvl w:val="0"/>
                <w:numId w:val="1"/>
              </w:numPr>
              <w:spacing w:before="40" w:after="40"/>
              <w:jc w:val="center"/>
              <w:rPr>
                <w:szCs w:val="21"/>
              </w:rPr>
            </w:pPr>
          </w:p>
        </w:tc>
        <w:tc>
          <w:tcPr>
            <w:tcW w:w="5718" w:type="dxa"/>
            <w:gridSpan w:val="2"/>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Calibri" w:hAnsi="Calibri"/>
                <w:szCs w:val="22"/>
              </w:rPr>
              <w:t>是否按照招租文件要求签字并（或）加盖公章</w:t>
            </w:r>
          </w:p>
        </w:tc>
        <w:tc>
          <w:tcPr>
            <w:tcW w:w="715" w:type="dxa"/>
            <w:tcBorders>
              <w:top w:val="single" w:color="auto" w:sz="4" w:space="0"/>
              <w:left w:val="single" w:color="auto" w:sz="4" w:space="0"/>
              <w:bottom w:val="single" w:color="auto" w:sz="4" w:space="0"/>
              <w:right w:val="single" w:color="auto" w:sz="4" w:space="0"/>
            </w:tcBorders>
          </w:tcPr>
          <w:p>
            <w:pPr>
              <w:spacing w:before="40" w:after="40"/>
              <w:rPr>
                <w:rFonts w:ascii="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7" w:type="dxa"/>
            <w:tcBorders>
              <w:top w:val="single" w:color="auto" w:sz="4" w:space="0"/>
              <w:left w:val="single" w:color="auto" w:sz="4" w:space="0"/>
              <w:bottom w:val="single" w:color="auto" w:sz="4" w:space="0"/>
              <w:right w:val="single" w:color="auto" w:sz="4" w:space="0"/>
            </w:tcBorders>
            <w:vAlign w:val="center"/>
          </w:tcPr>
          <w:p>
            <w:pPr>
              <w:numPr>
                <w:ilvl w:val="0"/>
                <w:numId w:val="1"/>
              </w:numPr>
              <w:spacing w:before="40" w:after="40"/>
              <w:jc w:val="center"/>
              <w:rPr>
                <w:szCs w:val="21"/>
              </w:rPr>
            </w:pPr>
          </w:p>
        </w:tc>
        <w:tc>
          <w:tcPr>
            <w:tcW w:w="5718" w:type="dxa"/>
            <w:gridSpan w:val="2"/>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Calibri" w:hAnsi="Calibri"/>
                <w:szCs w:val="22"/>
              </w:rPr>
              <w:t>申请文件载明的经营项目、经营范围等是否满足招租文件要求</w:t>
            </w:r>
          </w:p>
        </w:tc>
        <w:tc>
          <w:tcPr>
            <w:tcW w:w="715" w:type="dxa"/>
            <w:tcBorders>
              <w:top w:val="single" w:color="auto" w:sz="4" w:space="0"/>
              <w:left w:val="single" w:color="auto" w:sz="4" w:space="0"/>
              <w:bottom w:val="single" w:color="auto" w:sz="4" w:space="0"/>
              <w:right w:val="single" w:color="auto" w:sz="4" w:space="0"/>
            </w:tcBorders>
          </w:tcPr>
          <w:p>
            <w:pPr>
              <w:spacing w:before="40" w:after="40"/>
              <w:rPr>
                <w:rFonts w:ascii="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7" w:type="dxa"/>
            <w:tcBorders>
              <w:top w:val="single" w:color="auto" w:sz="4" w:space="0"/>
              <w:left w:val="single" w:color="auto" w:sz="4" w:space="0"/>
              <w:bottom w:val="single" w:color="auto" w:sz="4" w:space="0"/>
              <w:right w:val="single" w:color="auto" w:sz="4" w:space="0"/>
            </w:tcBorders>
            <w:vAlign w:val="center"/>
          </w:tcPr>
          <w:p>
            <w:pPr>
              <w:numPr>
                <w:ilvl w:val="0"/>
                <w:numId w:val="1"/>
              </w:numPr>
              <w:spacing w:before="40" w:after="40"/>
              <w:jc w:val="center"/>
              <w:rPr>
                <w:szCs w:val="21"/>
              </w:rPr>
            </w:pPr>
          </w:p>
        </w:tc>
        <w:tc>
          <w:tcPr>
            <w:tcW w:w="5718" w:type="dxa"/>
            <w:gridSpan w:val="2"/>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Calibri" w:hAnsi="Calibri"/>
                <w:szCs w:val="22"/>
              </w:rPr>
              <w:t>申请人资格是否满足招租文件要求</w:t>
            </w:r>
          </w:p>
        </w:tc>
        <w:tc>
          <w:tcPr>
            <w:tcW w:w="715" w:type="dxa"/>
            <w:tcBorders>
              <w:top w:val="single" w:color="auto" w:sz="4" w:space="0"/>
              <w:left w:val="single" w:color="auto" w:sz="4" w:space="0"/>
              <w:bottom w:val="single" w:color="auto" w:sz="4" w:space="0"/>
              <w:right w:val="single" w:color="auto" w:sz="4" w:space="0"/>
            </w:tcBorders>
          </w:tcPr>
          <w:p>
            <w:pPr>
              <w:tabs>
                <w:tab w:val="left" w:pos="686"/>
                <w:tab w:val="left" w:pos="1030"/>
              </w:tabs>
              <w:spacing w:before="40" w:after="40"/>
              <w:rPr>
                <w:rFonts w:hAnsi="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427" w:type="dxa"/>
            <w:tcBorders>
              <w:top w:val="single" w:color="auto" w:sz="4" w:space="0"/>
              <w:left w:val="single" w:color="auto" w:sz="4" w:space="0"/>
              <w:bottom w:val="single" w:color="auto" w:sz="4" w:space="0"/>
              <w:right w:val="single" w:color="auto" w:sz="4" w:space="0"/>
            </w:tcBorders>
            <w:vAlign w:val="center"/>
          </w:tcPr>
          <w:p>
            <w:pPr>
              <w:numPr>
                <w:ilvl w:val="0"/>
                <w:numId w:val="1"/>
              </w:numPr>
              <w:spacing w:before="40" w:after="40"/>
              <w:jc w:val="center"/>
              <w:rPr>
                <w:szCs w:val="21"/>
              </w:rPr>
            </w:pPr>
          </w:p>
        </w:tc>
        <w:tc>
          <w:tcPr>
            <w:tcW w:w="5718" w:type="dxa"/>
            <w:gridSpan w:val="2"/>
            <w:tcBorders>
              <w:top w:val="single" w:color="auto" w:sz="4" w:space="0"/>
              <w:left w:val="single" w:color="auto" w:sz="4" w:space="0"/>
              <w:bottom w:val="single" w:color="auto" w:sz="4" w:space="0"/>
              <w:right w:val="single" w:color="auto" w:sz="4" w:space="0"/>
            </w:tcBorders>
            <w:vAlign w:val="center"/>
          </w:tcPr>
          <w:p>
            <w:r>
              <w:rPr>
                <w:rFonts w:hint="eastAsia"/>
              </w:rPr>
              <w:t>竞租报价是否固定价或报价是否唯一</w:t>
            </w:r>
          </w:p>
        </w:tc>
        <w:tc>
          <w:tcPr>
            <w:tcW w:w="715" w:type="dxa"/>
            <w:tcBorders>
              <w:top w:val="single" w:color="auto" w:sz="4" w:space="0"/>
              <w:left w:val="single" w:color="auto" w:sz="4" w:space="0"/>
              <w:bottom w:val="single" w:color="auto" w:sz="4" w:space="0"/>
              <w:right w:val="single" w:color="auto" w:sz="4" w:space="0"/>
            </w:tcBorders>
          </w:tcPr>
          <w:p>
            <w:pPr>
              <w:tabs>
                <w:tab w:val="left" w:pos="686"/>
                <w:tab w:val="left" w:pos="1030"/>
              </w:tabs>
              <w:spacing w:before="40" w:after="40"/>
              <w:rPr>
                <w:rFonts w:hAnsi="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27" w:type="dxa"/>
            <w:tcBorders>
              <w:top w:val="single" w:color="auto" w:sz="4" w:space="0"/>
              <w:left w:val="single" w:color="auto" w:sz="4" w:space="0"/>
              <w:bottom w:val="single" w:color="auto" w:sz="4" w:space="0"/>
              <w:right w:val="single" w:color="auto" w:sz="4" w:space="0"/>
            </w:tcBorders>
            <w:vAlign w:val="center"/>
          </w:tcPr>
          <w:p>
            <w:pPr>
              <w:numPr>
                <w:ilvl w:val="0"/>
                <w:numId w:val="1"/>
              </w:numPr>
              <w:spacing w:before="40" w:after="40"/>
              <w:jc w:val="center"/>
              <w:rPr>
                <w:szCs w:val="21"/>
              </w:rPr>
            </w:pPr>
          </w:p>
        </w:tc>
        <w:tc>
          <w:tcPr>
            <w:tcW w:w="57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szCs w:val="21"/>
              </w:rPr>
              <w:t>竞租报价是否等于或高于</w:t>
            </w:r>
            <w:r>
              <w:rPr>
                <w:rFonts w:hint="eastAsia" w:ascii="宋体" w:hAnsi="宋体"/>
                <w:szCs w:val="21"/>
              </w:rPr>
              <w:t>租金</w:t>
            </w:r>
            <w:r>
              <w:rPr>
                <w:rFonts w:ascii="宋体" w:hAnsi="宋体"/>
                <w:szCs w:val="21"/>
              </w:rPr>
              <w:t>最低限价</w:t>
            </w:r>
          </w:p>
        </w:tc>
        <w:tc>
          <w:tcPr>
            <w:tcW w:w="715" w:type="dxa"/>
            <w:tcBorders>
              <w:top w:val="single" w:color="auto" w:sz="4" w:space="0"/>
              <w:left w:val="single" w:color="auto" w:sz="4" w:space="0"/>
              <w:bottom w:val="single" w:color="auto" w:sz="4" w:space="0"/>
              <w:right w:val="single" w:color="auto" w:sz="4" w:space="0"/>
            </w:tcBorders>
          </w:tcPr>
          <w:p>
            <w:pPr>
              <w:tabs>
                <w:tab w:val="left" w:pos="686"/>
                <w:tab w:val="left" w:pos="1030"/>
              </w:tabs>
              <w:spacing w:before="40" w:after="40"/>
              <w:rPr>
                <w:rFonts w:hAnsi="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427" w:type="dxa"/>
            <w:tcBorders>
              <w:top w:val="single" w:color="auto" w:sz="4" w:space="0"/>
              <w:left w:val="single" w:color="auto" w:sz="4" w:space="0"/>
              <w:bottom w:val="single" w:color="auto" w:sz="4" w:space="0"/>
              <w:right w:val="single" w:color="auto" w:sz="4" w:space="0"/>
            </w:tcBorders>
            <w:vAlign w:val="center"/>
          </w:tcPr>
          <w:p>
            <w:pPr>
              <w:numPr>
                <w:ilvl w:val="0"/>
                <w:numId w:val="1"/>
              </w:numPr>
              <w:spacing w:before="40" w:after="40"/>
              <w:jc w:val="center"/>
              <w:rPr>
                <w:szCs w:val="21"/>
              </w:rPr>
            </w:pPr>
          </w:p>
        </w:tc>
        <w:tc>
          <w:tcPr>
            <w:tcW w:w="5718" w:type="dxa"/>
            <w:gridSpan w:val="2"/>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未存在招租文件或法规明确规定可以废标的其他情形</w:t>
            </w:r>
          </w:p>
        </w:tc>
        <w:tc>
          <w:tcPr>
            <w:tcW w:w="715" w:type="dxa"/>
            <w:tcBorders>
              <w:top w:val="single" w:color="auto" w:sz="4" w:space="0"/>
              <w:left w:val="single" w:color="auto" w:sz="4" w:space="0"/>
              <w:bottom w:val="single" w:color="auto" w:sz="4" w:space="0"/>
              <w:right w:val="single" w:color="auto" w:sz="4" w:space="0"/>
            </w:tcBorders>
          </w:tcPr>
          <w:p>
            <w:pPr>
              <w:tabs>
                <w:tab w:val="left" w:pos="686"/>
                <w:tab w:val="left" w:pos="1030"/>
              </w:tabs>
              <w:spacing w:before="40" w:after="40"/>
              <w:rPr>
                <w:rFonts w:hAnsi="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6145" w:type="dxa"/>
            <w:gridSpan w:val="3"/>
            <w:tcBorders>
              <w:top w:val="single" w:color="auto" w:sz="4" w:space="0"/>
              <w:left w:val="single" w:color="auto" w:sz="4" w:space="0"/>
              <w:bottom w:val="single" w:color="auto" w:sz="4" w:space="0"/>
              <w:right w:val="single" w:color="auto" w:sz="4" w:space="0"/>
            </w:tcBorders>
            <w:vAlign w:val="center"/>
          </w:tcPr>
          <w:p>
            <w:pPr>
              <w:spacing w:before="40" w:after="40"/>
              <w:jc w:val="center"/>
              <w:rPr>
                <w:b/>
                <w:szCs w:val="21"/>
              </w:rPr>
            </w:pPr>
            <w:r>
              <w:rPr>
                <w:rFonts w:hint="eastAsia"/>
                <w:b/>
                <w:szCs w:val="21"/>
              </w:rPr>
              <w:t>结</w:t>
            </w:r>
            <w:r>
              <w:rPr>
                <w:b/>
                <w:szCs w:val="21"/>
              </w:rPr>
              <w:t xml:space="preserve">     </w:t>
            </w:r>
            <w:r>
              <w:rPr>
                <w:rFonts w:hint="eastAsia"/>
                <w:b/>
                <w:szCs w:val="21"/>
              </w:rPr>
              <w:t>论</w:t>
            </w: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exact"/>
        </w:trPr>
        <w:tc>
          <w:tcPr>
            <w:tcW w:w="1809" w:type="dxa"/>
            <w:gridSpan w:val="2"/>
            <w:tcBorders>
              <w:top w:val="single" w:color="auto" w:sz="4" w:space="0"/>
              <w:left w:val="single" w:color="auto" w:sz="4" w:space="0"/>
              <w:bottom w:val="single" w:color="auto" w:sz="4" w:space="0"/>
              <w:right w:val="single" w:color="auto" w:sz="4" w:space="0"/>
            </w:tcBorders>
            <w:vAlign w:val="center"/>
          </w:tcPr>
          <w:p>
            <w:pPr>
              <w:spacing w:before="40" w:after="40"/>
              <w:jc w:val="center"/>
              <w:rPr>
                <w:b/>
                <w:szCs w:val="21"/>
              </w:rPr>
            </w:pPr>
            <w:r>
              <w:rPr>
                <w:rFonts w:hint="eastAsia"/>
                <w:b/>
                <w:szCs w:val="21"/>
              </w:rPr>
              <w:t>不通过原因说明</w:t>
            </w:r>
          </w:p>
        </w:tc>
        <w:tc>
          <w:tcPr>
            <w:tcW w:w="7196" w:type="dxa"/>
            <w:gridSpan w:val="5"/>
            <w:tcBorders>
              <w:top w:val="single" w:color="auto" w:sz="4" w:space="0"/>
              <w:left w:val="single" w:color="auto" w:sz="4" w:space="0"/>
              <w:bottom w:val="single" w:color="auto" w:sz="4" w:space="0"/>
              <w:right w:val="single" w:color="auto" w:sz="4" w:space="0"/>
            </w:tcBorders>
            <w:vAlign w:val="center"/>
          </w:tcPr>
          <w:p>
            <w:pPr>
              <w:spacing w:before="40" w:after="40"/>
              <w:rPr>
                <w:b/>
                <w:szCs w:val="21"/>
              </w:rPr>
            </w:pPr>
          </w:p>
        </w:tc>
      </w:tr>
    </w:tbl>
    <w:p>
      <w:pPr>
        <w:pStyle w:val="19"/>
        <w:numPr>
          <w:ilvl w:val="3"/>
          <w:numId w:val="1"/>
        </w:numPr>
        <w:tabs>
          <w:tab w:val="left" w:pos="142"/>
          <w:tab w:val="clear" w:pos="1680"/>
        </w:tabs>
        <w:spacing w:before="60"/>
        <w:ind w:left="-2" w:leftChars="-1" w:firstLine="0" w:firstLineChars="0"/>
        <w:rPr>
          <w:sz w:val="18"/>
          <w:szCs w:val="18"/>
        </w:rPr>
      </w:pPr>
      <w:r>
        <w:rPr>
          <w:rFonts w:hint="eastAsia"/>
          <w:sz w:val="18"/>
          <w:szCs w:val="18"/>
        </w:rPr>
        <w:t>每一项目符合的打“</w:t>
      </w:r>
      <w:r>
        <w:rPr>
          <w:rFonts w:hint="eastAsia" w:ascii="宋体" w:hAnsi="宋体"/>
          <w:sz w:val="18"/>
          <w:szCs w:val="18"/>
        </w:rPr>
        <w:t>√</w:t>
      </w:r>
      <w:r>
        <w:rPr>
          <w:rFonts w:hint="eastAsia"/>
          <w:sz w:val="18"/>
          <w:szCs w:val="18"/>
        </w:rPr>
        <w:t>”，不符合的打“</w:t>
      </w:r>
      <w:r>
        <w:rPr>
          <w:rFonts w:hint="eastAsia" w:ascii="宋体" w:hAnsi="宋体"/>
          <w:sz w:val="18"/>
          <w:szCs w:val="18"/>
        </w:rPr>
        <w:t>×</w:t>
      </w:r>
      <w:r>
        <w:rPr>
          <w:rFonts w:hint="eastAsia"/>
          <w:sz w:val="18"/>
          <w:szCs w:val="18"/>
        </w:rPr>
        <w:t>”；出现一个“</w:t>
      </w:r>
      <w:r>
        <w:rPr>
          <w:rFonts w:hint="eastAsia" w:ascii="宋体" w:hAnsi="宋体"/>
          <w:sz w:val="18"/>
          <w:szCs w:val="18"/>
        </w:rPr>
        <w:t>×</w:t>
      </w:r>
      <w:r>
        <w:rPr>
          <w:rFonts w:hint="eastAsia"/>
          <w:sz w:val="18"/>
          <w:szCs w:val="18"/>
        </w:rPr>
        <w:t>”的结论为不通过；</w:t>
      </w:r>
    </w:p>
    <w:p>
      <w:pPr>
        <w:spacing w:before="60"/>
        <w:rPr>
          <w:sz w:val="18"/>
          <w:szCs w:val="18"/>
        </w:rPr>
      </w:pPr>
      <w:r>
        <w:rPr>
          <w:rFonts w:hint="eastAsia"/>
          <w:sz w:val="18"/>
          <w:szCs w:val="18"/>
        </w:rPr>
        <w:t>2. 评审结论栏统一填写为“通过”或“不通过”；</w:t>
      </w:r>
    </w:p>
    <w:p>
      <w:pPr>
        <w:rPr>
          <w:sz w:val="18"/>
          <w:szCs w:val="18"/>
        </w:rPr>
      </w:pPr>
      <w:r>
        <w:rPr>
          <w:sz w:val="18"/>
          <w:szCs w:val="18"/>
        </w:rPr>
        <w:t>3.</w:t>
      </w:r>
      <w:r>
        <w:rPr>
          <w:rFonts w:hint="eastAsia"/>
          <w:sz w:val="18"/>
          <w:szCs w:val="18"/>
        </w:rPr>
        <w:t>对结论为“不通过”的申请，要说明原因。</w:t>
      </w:r>
    </w:p>
    <w:p>
      <w:pPr>
        <w:widowControl/>
        <w:tabs>
          <w:tab w:val="left" w:pos="630"/>
        </w:tabs>
        <w:spacing w:line="480" w:lineRule="exact"/>
        <w:ind w:firstLine="560" w:firstLineChars="200"/>
        <w:rPr>
          <w:rFonts w:eastAsia="仿宋_GB2312"/>
          <w:bCs/>
          <w:sz w:val="28"/>
          <w:szCs w:val="28"/>
        </w:rPr>
      </w:pP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3.2详细评审</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详细评审是对通过初步评审的申请进行技术商务、价格的评审。</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3.2.1技术商务评价</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评审小组就申请人的技术商务响应情况等这些因素进行评分，各因素所占权重比例见《技术商务评审表》（表</w:t>
      </w:r>
      <w:r>
        <w:rPr>
          <w:rFonts w:eastAsia="仿宋_GB2312"/>
          <w:bCs/>
          <w:sz w:val="28"/>
          <w:szCs w:val="28"/>
        </w:rPr>
        <w:t>2</w:t>
      </w:r>
      <w:r>
        <w:rPr>
          <w:rFonts w:hint="eastAsia" w:eastAsia="仿宋_GB2312"/>
          <w:bCs/>
          <w:sz w:val="28"/>
          <w:szCs w:val="28"/>
        </w:rPr>
        <w:t>）。</w:t>
      </w:r>
    </w:p>
    <w:p>
      <w:pPr>
        <w:widowControl/>
        <w:tabs>
          <w:tab w:val="left" w:pos="630"/>
        </w:tabs>
        <w:spacing w:line="480" w:lineRule="exact"/>
        <w:ind w:firstLine="560" w:firstLineChars="200"/>
        <w:rPr>
          <w:rFonts w:eastAsia="仿宋_GB2312"/>
          <w:bCs/>
          <w:sz w:val="28"/>
          <w:szCs w:val="28"/>
        </w:rPr>
      </w:pPr>
    </w:p>
    <w:p>
      <w:pPr>
        <w:tabs>
          <w:tab w:val="left" w:pos="1980"/>
          <w:tab w:val="center" w:pos="4535"/>
        </w:tabs>
        <w:jc w:val="left"/>
        <w:rPr>
          <w:rFonts w:ascii="宋体" w:hAnsi="宋体" w:cs="宋体"/>
          <w:b/>
          <w:snapToGrid w:val="0"/>
          <w:sz w:val="24"/>
        </w:rPr>
      </w:pPr>
      <w:r>
        <w:rPr>
          <w:rFonts w:ascii="宋体" w:hAnsi="宋体" w:cs="宋体"/>
          <w:b/>
          <w:snapToGrid w:val="0"/>
          <w:sz w:val="24"/>
        </w:rPr>
        <w:tab/>
      </w:r>
      <w:r>
        <w:rPr>
          <w:rFonts w:ascii="宋体" w:hAnsi="宋体" w:cs="宋体"/>
          <w:b/>
          <w:snapToGrid w:val="0"/>
          <w:sz w:val="24"/>
        </w:rPr>
        <w:t>表</w:t>
      </w:r>
      <w:r>
        <w:rPr>
          <w:rFonts w:hint="eastAsia" w:ascii="宋体" w:hAnsi="宋体" w:cs="宋体"/>
          <w:b/>
          <w:snapToGrid w:val="0"/>
          <w:sz w:val="24"/>
        </w:rPr>
        <w:t>2</w:t>
      </w:r>
      <w:r>
        <w:rPr>
          <w:rFonts w:ascii="宋体" w:hAnsi="宋体" w:cs="宋体"/>
          <w:b/>
          <w:snapToGrid w:val="0"/>
          <w:sz w:val="24"/>
        </w:rPr>
        <w:tab/>
      </w:r>
      <w:r>
        <w:rPr>
          <w:rFonts w:hint="eastAsia" w:ascii="宋体" w:hAnsi="宋体" w:cs="宋体"/>
          <w:b/>
          <w:snapToGrid w:val="0"/>
          <w:sz w:val="24"/>
        </w:rPr>
        <w:t>技术商务评审表(65分)</w:t>
      </w:r>
      <w:bookmarkStart w:id="1" w:name="_Toc227144353"/>
    </w:p>
    <w:p>
      <w:pPr>
        <w:jc w:val="left"/>
        <w:rPr>
          <w:rFonts w:ascii="宋体" w:hAnsi="宋体" w:cs="宋体"/>
          <w:b/>
          <w:snapToGrid w:val="0"/>
          <w:sz w:val="24"/>
        </w:rPr>
      </w:pPr>
    </w:p>
    <w:tbl>
      <w:tblPr>
        <w:tblStyle w:val="11"/>
        <w:tblW w:w="9215" w:type="dxa"/>
        <w:tblInd w:w="-176" w:type="dxa"/>
        <w:tblLayout w:type="fixed"/>
        <w:tblCellMar>
          <w:top w:w="0" w:type="dxa"/>
          <w:left w:w="108" w:type="dxa"/>
          <w:bottom w:w="0" w:type="dxa"/>
          <w:right w:w="108" w:type="dxa"/>
        </w:tblCellMar>
      </w:tblPr>
      <w:tblGrid>
        <w:gridCol w:w="568"/>
        <w:gridCol w:w="709"/>
        <w:gridCol w:w="1701"/>
        <w:gridCol w:w="850"/>
        <w:gridCol w:w="5387"/>
      </w:tblGrid>
      <w:tr>
        <w:tblPrEx>
          <w:tblLayout w:type="fixed"/>
          <w:tblCellMar>
            <w:top w:w="0" w:type="dxa"/>
            <w:left w:w="108" w:type="dxa"/>
            <w:bottom w:w="0" w:type="dxa"/>
            <w:right w:w="108" w:type="dxa"/>
          </w:tblCellMar>
        </w:tblPrEx>
        <w:trPr>
          <w:trHeight w:val="20" w:hRule="atLeast"/>
        </w:trPr>
        <w:tc>
          <w:tcPr>
            <w:tcW w:w="568"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cs="宋体"/>
                <w:snapToGrid w:val="0"/>
                <w:szCs w:val="21"/>
              </w:rPr>
            </w:pP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评审项目</w:t>
            </w:r>
          </w:p>
        </w:tc>
        <w:tc>
          <w:tcPr>
            <w:tcW w:w="850"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分值</w:t>
            </w:r>
          </w:p>
        </w:tc>
        <w:tc>
          <w:tcPr>
            <w:tcW w:w="5387"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评审内容</w:t>
            </w:r>
          </w:p>
        </w:tc>
      </w:tr>
      <w:tr>
        <w:tblPrEx>
          <w:tblLayout w:type="fixed"/>
          <w:tblCellMar>
            <w:top w:w="0" w:type="dxa"/>
            <w:left w:w="108" w:type="dxa"/>
            <w:bottom w:w="0" w:type="dxa"/>
            <w:right w:w="108" w:type="dxa"/>
          </w:tblCellMar>
        </w:tblPrEx>
        <w:trPr>
          <w:trHeight w:val="2248" w:hRule="atLeast"/>
        </w:trPr>
        <w:tc>
          <w:tcPr>
            <w:tcW w:w="568" w:type="dxa"/>
            <w:tcBorders>
              <w:top w:val="nil"/>
              <w:left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1</w:t>
            </w:r>
          </w:p>
        </w:tc>
        <w:tc>
          <w:tcPr>
            <w:tcW w:w="709" w:type="dxa"/>
            <w:tcBorders>
              <w:top w:val="nil"/>
              <w:left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经营业绩及能力（25分）</w:t>
            </w:r>
          </w:p>
        </w:tc>
        <w:tc>
          <w:tcPr>
            <w:tcW w:w="1701" w:type="dxa"/>
            <w:tcBorders>
              <w:top w:val="nil"/>
              <w:left w:val="nil"/>
              <w:right w:val="single" w:color="auto" w:sz="4" w:space="0"/>
            </w:tcBorders>
            <w:shd w:val="clear" w:color="auto" w:fill="auto"/>
            <w:vAlign w:val="center"/>
          </w:tcPr>
          <w:p>
            <w:pPr>
              <w:jc w:val="left"/>
              <w:rPr>
                <w:rFonts w:ascii="宋体" w:hAnsi="宋体" w:cs="宋体"/>
                <w:snapToGrid w:val="0"/>
                <w:szCs w:val="21"/>
              </w:rPr>
            </w:pPr>
          </w:p>
        </w:tc>
        <w:tc>
          <w:tcPr>
            <w:tcW w:w="850" w:type="dxa"/>
            <w:vMerge w:val="restart"/>
            <w:tcBorders>
              <w:top w:val="single" w:color="auto" w:sz="4" w:space="0"/>
              <w:left w:val="nil"/>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25分</w:t>
            </w:r>
          </w:p>
        </w:tc>
        <w:tc>
          <w:tcPr>
            <w:tcW w:w="5387" w:type="dxa"/>
            <w:tcBorders>
              <w:top w:val="single" w:color="auto" w:sz="4" w:space="0"/>
              <w:left w:val="nil"/>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（1）</w:t>
            </w:r>
            <w:r>
              <w:rPr>
                <w:rFonts w:ascii="宋体" w:hAnsi="宋体" w:cs="宋体"/>
                <w:snapToGrid w:val="0"/>
                <w:szCs w:val="21"/>
              </w:rPr>
              <w:t>相关背景和经营管理经验</w:t>
            </w:r>
            <w:r>
              <w:rPr>
                <w:rFonts w:hint="eastAsia" w:ascii="宋体" w:hAnsi="宋体" w:cs="宋体"/>
                <w:snapToGrid w:val="0"/>
                <w:szCs w:val="21"/>
              </w:rPr>
              <w:t>（5分）。</w:t>
            </w:r>
          </w:p>
          <w:p>
            <w:pPr>
              <w:jc w:val="left"/>
              <w:rPr>
                <w:rFonts w:ascii="宋体" w:hAnsi="宋体" w:cs="宋体"/>
                <w:snapToGrid w:val="0"/>
                <w:szCs w:val="21"/>
              </w:rPr>
            </w:pPr>
            <w:r>
              <w:rPr>
                <w:rFonts w:hint="eastAsia" w:ascii="宋体" w:hAnsi="宋体" w:cs="宋体"/>
                <w:snapToGrid w:val="0"/>
                <w:szCs w:val="21"/>
              </w:rPr>
              <w:t xml:space="preserve">（2） </w:t>
            </w:r>
            <w:r>
              <w:rPr>
                <w:rFonts w:ascii="宋体" w:hAnsi="宋体" w:cs="宋体"/>
                <w:snapToGrid w:val="0"/>
                <w:szCs w:val="21"/>
              </w:rPr>
              <w:t>经营业绩</w:t>
            </w:r>
            <w:r>
              <w:rPr>
                <w:rFonts w:hint="eastAsia" w:ascii="宋体" w:hAnsi="宋体" w:cs="宋体"/>
                <w:snapToGrid w:val="0"/>
                <w:szCs w:val="21"/>
              </w:rPr>
              <w:t>（5分）。</w:t>
            </w:r>
          </w:p>
          <w:p>
            <w:pPr>
              <w:jc w:val="left"/>
              <w:rPr>
                <w:rFonts w:ascii="宋体" w:hAnsi="宋体" w:cs="宋体"/>
                <w:snapToGrid w:val="0"/>
                <w:szCs w:val="21"/>
              </w:rPr>
            </w:pPr>
            <w:r>
              <w:rPr>
                <w:rFonts w:hint="eastAsia" w:ascii="宋体" w:hAnsi="宋体" w:cs="宋体"/>
                <w:snapToGrid w:val="0"/>
                <w:szCs w:val="21"/>
              </w:rPr>
              <w:t xml:space="preserve">（3） </w:t>
            </w:r>
            <w:r>
              <w:rPr>
                <w:rFonts w:ascii="宋体" w:hAnsi="宋体" w:cs="宋体"/>
                <w:snapToGrid w:val="0"/>
                <w:szCs w:val="21"/>
              </w:rPr>
              <w:t>财务状况和资信</w:t>
            </w:r>
            <w:r>
              <w:rPr>
                <w:rFonts w:hint="eastAsia" w:ascii="宋体" w:hAnsi="宋体" w:cs="宋体"/>
                <w:snapToGrid w:val="0"/>
                <w:szCs w:val="21"/>
              </w:rPr>
              <w:t>（5分）。</w:t>
            </w:r>
          </w:p>
          <w:p>
            <w:pPr>
              <w:jc w:val="left"/>
              <w:rPr>
                <w:rFonts w:ascii="宋体" w:hAnsi="宋体" w:cs="宋体"/>
                <w:snapToGrid w:val="0"/>
                <w:szCs w:val="21"/>
              </w:rPr>
            </w:pPr>
            <w:r>
              <w:rPr>
                <w:rFonts w:hint="eastAsia" w:ascii="宋体" w:hAnsi="宋体" w:cs="宋体"/>
                <w:snapToGrid w:val="0"/>
                <w:szCs w:val="21"/>
              </w:rPr>
              <w:t>（4）</w:t>
            </w:r>
            <w:r>
              <w:rPr>
                <w:rFonts w:ascii="宋体" w:hAnsi="宋体" w:cs="宋体"/>
                <w:snapToGrid w:val="0"/>
                <w:szCs w:val="21"/>
              </w:rPr>
              <w:t xml:space="preserve"> 租赁申请人</w:t>
            </w:r>
            <w:r>
              <w:rPr>
                <w:rFonts w:hint="eastAsia" w:ascii="宋体" w:hAnsi="宋体" w:cs="宋体"/>
                <w:snapToGrid w:val="0"/>
                <w:szCs w:val="21"/>
              </w:rPr>
              <w:t>的</w:t>
            </w:r>
            <w:r>
              <w:rPr>
                <w:rFonts w:ascii="宋体" w:hAnsi="宋体" w:cs="宋体"/>
                <w:snapToGrid w:val="0"/>
                <w:szCs w:val="21"/>
              </w:rPr>
              <w:t>管理能力和水平</w:t>
            </w:r>
            <w:r>
              <w:rPr>
                <w:rFonts w:hint="eastAsia" w:ascii="宋体" w:hAnsi="宋体" w:cs="宋体"/>
                <w:snapToGrid w:val="0"/>
                <w:szCs w:val="21"/>
              </w:rPr>
              <w:t>（5分）。</w:t>
            </w:r>
          </w:p>
          <w:p>
            <w:pPr>
              <w:jc w:val="left"/>
              <w:rPr>
                <w:rFonts w:ascii="宋体" w:hAnsi="宋体" w:cs="宋体"/>
                <w:snapToGrid w:val="0"/>
                <w:szCs w:val="21"/>
              </w:rPr>
            </w:pPr>
            <w:r>
              <w:rPr>
                <w:rFonts w:hint="eastAsia" w:ascii="宋体" w:hAnsi="宋体" w:cs="宋体"/>
                <w:snapToGrid w:val="0"/>
                <w:szCs w:val="21"/>
              </w:rPr>
              <w:t>（5）</w:t>
            </w:r>
            <w:r>
              <w:rPr>
                <w:rFonts w:ascii="宋体" w:hAnsi="宋体" w:cs="宋体"/>
                <w:snapToGrid w:val="0"/>
                <w:szCs w:val="21"/>
              </w:rPr>
              <w:t xml:space="preserve"> </w:t>
            </w:r>
            <w:r>
              <w:rPr>
                <w:rFonts w:hint="eastAsia" w:ascii="宋体" w:hAnsi="宋体" w:cs="宋体"/>
                <w:snapToGrid w:val="0"/>
                <w:szCs w:val="21"/>
              </w:rPr>
              <w:t>管理</w:t>
            </w:r>
            <w:r>
              <w:rPr>
                <w:rFonts w:ascii="宋体" w:hAnsi="宋体" w:cs="宋体"/>
                <w:snapToGrid w:val="0"/>
                <w:szCs w:val="21"/>
              </w:rPr>
              <w:t>制度及管理要求等</w:t>
            </w:r>
            <w:r>
              <w:rPr>
                <w:rFonts w:hint="eastAsia" w:ascii="宋体" w:hAnsi="宋体" w:cs="宋体"/>
                <w:snapToGrid w:val="0"/>
                <w:szCs w:val="21"/>
              </w:rPr>
              <w:t>（5分）。</w:t>
            </w:r>
          </w:p>
        </w:tc>
      </w:tr>
      <w:tr>
        <w:tblPrEx>
          <w:tblLayout w:type="fixed"/>
          <w:tblCellMar>
            <w:top w:w="0" w:type="dxa"/>
            <w:left w:w="108" w:type="dxa"/>
            <w:bottom w:w="0" w:type="dxa"/>
            <w:right w:w="108" w:type="dxa"/>
          </w:tblCellMar>
        </w:tblPrEx>
        <w:trPr>
          <w:trHeight w:val="74" w:hRule="atLeast"/>
        </w:trPr>
        <w:tc>
          <w:tcPr>
            <w:tcW w:w="568" w:type="dxa"/>
            <w:tcBorders>
              <w:top w:val="nil"/>
              <w:left w:val="single" w:color="auto" w:sz="4" w:space="0"/>
              <w:bottom w:val="single" w:color="auto" w:sz="4" w:space="0"/>
              <w:right w:val="single" w:color="auto" w:sz="4" w:space="0"/>
            </w:tcBorders>
            <w:vAlign w:val="center"/>
          </w:tcPr>
          <w:p>
            <w:pPr>
              <w:jc w:val="left"/>
              <w:rPr>
                <w:rFonts w:ascii="宋体" w:hAnsi="宋体" w:cs="宋体"/>
                <w:snapToGrid w:val="0"/>
                <w:szCs w:val="21"/>
              </w:rPr>
            </w:pPr>
          </w:p>
        </w:tc>
        <w:tc>
          <w:tcPr>
            <w:tcW w:w="709" w:type="dxa"/>
            <w:tcBorders>
              <w:top w:val="nil"/>
              <w:left w:val="single" w:color="auto" w:sz="4" w:space="0"/>
              <w:bottom w:val="single" w:color="auto" w:sz="4" w:space="0"/>
              <w:right w:val="single" w:color="auto" w:sz="4" w:space="0"/>
            </w:tcBorders>
            <w:shd w:val="clear" w:color="auto" w:fill="auto"/>
            <w:vAlign w:val="center"/>
          </w:tcPr>
          <w:p>
            <w:pPr>
              <w:jc w:val="left"/>
              <w:rPr>
                <w:rFonts w:ascii="宋体" w:hAnsi="宋体" w:cs="宋体"/>
                <w:snapToGrid w:val="0"/>
                <w:szCs w:val="21"/>
              </w:rPr>
            </w:pPr>
          </w:p>
        </w:tc>
        <w:tc>
          <w:tcPr>
            <w:tcW w:w="1701" w:type="dxa"/>
            <w:tcBorders>
              <w:left w:val="single" w:color="auto" w:sz="4" w:space="0"/>
              <w:bottom w:val="single" w:color="auto" w:sz="4" w:space="0"/>
              <w:right w:val="single" w:color="auto" w:sz="4" w:space="0"/>
            </w:tcBorders>
            <w:vAlign w:val="center"/>
          </w:tcPr>
          <w:p>
            <w:pPr>
              <w:jc w:val="left"/>
              <w:rPr>
                <w:rFonts w:ascii="宋体" w:hAnsi="宋体" w:cs="宋体"/>
                <w:snapToGrid w:val="0"/>
                <w:szCs w:val="21"/>
              </w:rPr>
            </w:pPr>
          </w:p>
        </w:tc>
        <w:tc>
          <w:tcPr>
            <w:tcW w:w="850" w:type="dxa"/>
            <w:vMerge w:val="continue"/>
            <w:tcBorders>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p>
        </w:tc>
        <w:tc>
          <w:tcPr>
            <w:tcW w:w="5387" w:type="dxa"/>
            <w:tcBorders>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p>
        </w:tc>
      </w:tr>
      <w:tr>
        <w:tblPrEx>
          <w:tblLayout w:type="fixed"/>
          <w:tblCellMar>
            <w:top w:w="0" w:type="dxa"/>
            <w:left w:w="108" w:type="dxa"/>
            <w:bottom w:w="0" w:type="dxa"/>
            <w:right w:w="108" w:type="dxa"/>
          </w:tblCellMar>
        </w:tblPrEx>
        <w:trPr>
          <w:trHeight w:val="1125" w:hRule="atLeast"/>
        </w:trPr>
        <w:tc>
          <w:tcPr>
            <w:tcW w:w="568" w:type="dxa"/>
            <w:vMerge w:val="restart"/>
            <w:tcBorders>
              <w:top w:val="nil"/>
              <w:left w:val="single" w:color="auto" w:sz="4" w:space="0"/>
              <w:right w:val="single" w:color="auto" w:sz="4" w:space="0"/>
            </w:tcBorders>
            <w:vAlign w:val="center"/>
          </w:tcPr>
          <w:p>
            <w:pPr>
              <w:jc w:val="left"/>
              <w:rPr>
                <w:rFonts w:ascii="宋体" w:hAnsi="宋体" w:cs="宋体"/>
                <w:snapToGrid w:val="0"/>
                <w:szCs w:val="21"/>
              </w:rPr>
            </w:pPr>
            <w:r>
              <w:rPr>
                <w:rFonts w:hint="eastAsia" w:ascii="宋体" w:hAnsi="宋体" w:cs="宋体"/>
                <w:snapToGrid w:val="0"/>
                <w:szCs w:val="21"/>
              </w:rPr>
              <w:t>2</w:t>
            </w:r>
          </w:p>
        </w:tc>
        <w:tc>
          <w:tcPr>
            <w:tcW w:w="709" w:type="dxa"/>
            <w:vMerge w:val="restart"/>
            <w:tcBorders>
              <w:top w:val="nil"/>
              <w:left w:val="single" w:color="auto" w:sz="4" w:space="0"/>
              <w:right w:val="single" w:color="auto" w:sz="4" w:space="0"/>
            </w:tcBorders>
            <w:shd w:val="clear" w:color="auto" w:fill="auto"/>
            <w:vAlign w:val="center"/>
          </w:tcPr>
          <w:p>
            <w:pPr>
              <w:jc w:val="left"/>
              <w:rPr>
                <w:rFonts w:ascii="宋体" w:hAnsi="宋体" w:cs="宋体"/>
                <w:snapToGrid w:val="0"/>
                <w:szCs w:val="21"/>
              </w:rPr>
            </w:pPr>
            <w:r>
              <w:rPr>
                <w:rFonts w:ascii="宋体" w:hAnsi="宋体" w:cs="宋体"/>
                <w:snapToGrid w:val="0"/>
                <w:szCs w:val="21"/>
              </w:rPr>
              <w:t>经营方案</w:t>
            </w:r>
            <w:r>
              <w:rPr>
                <w:rFonts w:hint="eastAsia" w:ascii="宋体" w:hAnsi="宋体" w:cs="宋体"/>
                <w:snapToGrid w:val="0"/>
                <w:szCs w:val="21"/>
              </w:rPr>
              <w:t>（20分）</w:t>
            </w:r>
          </w:p>
        </w:tc>
        <w:tc>
          <w:tcPr>
            <w:tcW w:w="1701" w:type="dxa"/>
            <w:tcBorders>
              <w:top w:val="nil"/>
              <w:left w:val="nil"/>
              <w:bottom w:val="single" w:color="auto" w:sz="4" w:space="0"/>
              <w:right w:val="single" w:color="auto" w:sz="4" w:space="0"/>
            </w:tcBorders>
            <w:vAlign w:val="center"/>
          </w:tcPr>
          <w:p>
            <w:pPr>
              <w:jc w:val="left"/>
              <w:rPr>
                <w:rFonts w:ascii="宋体" w:hAnsi="宋体" w:cs="宋体"/>
                <w:snapToGrid w:val="0"/>
                <w:szCs w:val="21"/>
              </w:rPr>
            </w:pPr>
            <w:r>
              <w:rPr>
                <w:rFonts w:ascii="宋体" w:hAnsi="宋体" w:cs="宋体"/>
                <w:snapToGrid w:val="0"/>
                <w:szCs w:val="21"/>
              </w:rPr>
              <w:t>经营管理实施方案</w:t>
            </w:r>
          </w:p>
        </w:tc>
        <w:tc>
          <w:tcPr>
            <w:tcW w:w="850" w:type="dxa"/>
            <w:tcBorders>
              <w:top w:val="nil"/>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10分</w:t>
            </w:r>
          </w:p>
        </w:tc>
        <w:tc>
          <w:tcPr>
            <w:tcW w:w="5387"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（1）对经营管理的整体设想及策划进行综合分析、比较评分（3分）。</w:t>
            </w:r>
          </w:p>
          <w:p>
            <w:pPr>
              <w:jc w:val="left"/>
              <w:rPr>
                <w:rFonts w:ascii="宋体" w:hAnsi="宋体" w:cs="宋体"/>
                <w:snapToGrid w:val="0"/>
                <w:szCs w:val="21"/>
              </w:rPr>
            </w:pPr>
            <w:r>
              <w:rPr>
                <w:rFonts w:hint="eastAsia" w:ascii="宋体" w:hAnsi="宋体" w:cs="宋体"/>
                <w:snapToGrid w:val="0"/>
                <w:szCs w:val="21"/>
              </w:rPr>
              <w:t>（2）进货渠道正规、进出货记录完整，临期、到期商品处理管理方案等（2分）。</w:t>
            </w:r>
          </w:p>
          <w:p>
            <w:pPr>
              <w:jc w:val="left"/>
              <w:rPr>
                <w:rFonts w:ascii="宋体" w:hAnsi="宋体" w:cs="宋体"/>
                <w:snapToGrid w:val="0"/>
                <w:szCs w:val="21"/>
              </w:rPr>
            </w:pPr>
            <w:r>
              <w:rPr>
                <w:rFonts w:hint="eastAsia" w:ascii="宋体" w:hAnsi="宋体" w:cs="宋体"/>
                <w:snapToGrid w:val="0"/>
                <w:szCs w:val="21"/>
              </w:rPr>
              <w:t>（3）安全消防管理方案及承诺（3分）。</w:t>
            </w:r>
          </w:p>
          <w:p>
            <w:pPr>
              <w:jc w:val="left"/>
              <w:rPr>
                <w:rFonts w:ascii="宋体" w:hAnsi="宋体" w:cs="宋体"/>
                <w:snapToGrid w:val="0"/>
                <w:szCs w:val="21"/>
              </w:rPr>
            </w:pPr>
            <w:r>
              <w:rPr>
                <w:rFonts w:hint="eastAsia" w:ascii="宋体" w:hAnsi="宋体" w:cs="宋体"/>
                <w:snapToGrid w:val="0"/>
                <w:szCs w:val="21"/>
              </w:rPr>
              <w:t>（4）卫生保洁管理方案（含门前三包）（2分）。</w:t>
            </w:r>
          </w:p>
        </w:tc>
      </w:tr>
      <w:tr>
        <w:tblPrEx>
          <w:tblLayout w:type="fixed"/>
          <w:tblCellMar>
            <w:top w:w="0" w:type="dxa"/>
            <w:left w:w="108" w:type="dxa"/>
            <w:bottom w:w="0" w:type="dxa"/>
            <w:right w:w="108" w:type="dxa"/>
          </w:tblCellMar>
        </w:tblPrEx>
        <w:trPr>
          <w:trHeight w:val="20" w:hRule="atLeast"/>
        </w:trPr>
        <w:tc>
          <w:tcPr>
            <w:tcW w:w="568" w:type="dxa"/>
            <w:vMerge w:val="continue"/>
            <w:tcBorders>
              <w:left w:val="single" w:color="auto" w:sz="4" w:space="0"/>
              <w:right w:val="single" w:color="auto" w:sz="4" w:space="0"/>
            </w:tcBorders>
            <w:vAlign w:val="center"/>
          </w:tcPr>
          <w:p>
            <w:pPr>
              <w:jc w:val="left"/>
              <w:rPr>
                <w:rFonts w:ascii="宋体" w:hAnsi="宋体" w:cs="宋体"/>
                <w:snapToGrid w:val="0"/>
                <w:szCs w:val="21"/>
              </w:rPr>
            </w:pPr>
          </w:p>
        </w:tc>
        <w:tc>
          <w:tcPr>
            <w:tcW w:w="709" w:type="dxa"/>
            <w:vMerge w:val="continue"/>
            <w:tcBorders>
              <w:left w:val="single" w:color="auto" w:sz="4" w:space="0"/>
              <w:right w:val="single" w:color="auto" w:sz="4" w:space="0"/>
            </w:tcBorders>
            <w:shd w:val="clear" w:color="auto" w:fill="auto"/>
            <w:vAlign w:val="center"/>
          </w:tcPr>
          <w:p>
            <w:pPr>
              <w:jc w:val="left"/>
              <w:rPr>
                <w:rFonts w:ascii="宋体" w:hAnsi="宋体" w:cs="宋体"/>
                <w:snapToGrid w:val="0"/>
                <w:szCs w:val="21"/>
              </w:rPr>
            </w:pPr>
          </w:p>
        </w:tc>
        <w:tc>
          <w:tcPr>
            <w:tcW w:w="1701" w:type="dxa"/>
            <w:tcBorders>
              <w:top w:val="nil"/>
              <w:left w:val="nil"/>
              <w:bottom w:val="single" w:color="auto" w:sz="4" w:space="0"/>
              <w:right w:val="single" w:color="auto" w:sz="4" w:space="0"/>
            </w:tcBorders>
            <w:vAlign w:val="center"/>
          </w:tcPr>
          <w:p>
            <w:pPr>
              <w:jc w:val="left"/>
              <w:rPr>
                <w:rFonts w:ascii="宋体" w:hAnsi="宋体" w:cs="宋体"/>
                <w:snapToGrid w:val="0"/>
                <w:szCs w:val="21"/>
              </w:rPr>
            </w:pPr>
            <w:r>
              <w:rPr>
                <w:rFonts w:hint="eastAsia" w:ascii="宋体" w:hAnsi="宋体" w:cs="宋体"/>
                <w:snapToGrid w:val="0"/>
                <w:szCs w:val="21"/>
              </w:rPr>
              <w:t>场地装修及平面布置方案</w:t>
            </w:r>
          </w:p>
        </w:tc>
        <w:tc>
          <w:tcPr>
            <w:tcW w:w="850" w:type="dxa"/>
            <w:tcBorders>
              <w:top w:val="nil"/>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5分</w:t>
            </w:r>
          </w:p>
        </w:tc>
        <w:tc>
          <w:tcPr>
            <w:tcW w:w="5387"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场地装修及平面布置方案符合招租人的要求，不得分割场地分租。</w:t>
            </w:r>
          </w:p>
        </w:tc>
      </w:tr>
      <w:tr>
        <w:tblPrEx>
          <w:tblLayout w:type="fixed"/>
          <w:tblCellMar>
            <w:top w:w="0" w:type="dxa"/>
            <w:left w:w="108" w:type="dxa"/>
            <w:bottom w:w="0" w:type="dxa"/>
            <w:right w:w="108" w:type="dxa"/>
          </w:tblCellMar>
        </w:tblPrEx>
        <w:trPr>
          <w:trHeight w:val="988" w:hRule="atLeast"/>
        </w:trPr>
        <w:tc>
          <w:tcPr>
            <w:tcW w:w="568" w:type="dxa"/>
            <w:vMerge w:val="continue"/>
            <w:tcBorders>
              <w:left w:val="single" w:color="auto" w:sz="4" w:space="0"/>
              <w:bottom w:val="single" w:color="auto" w:sz="4" w:space="0"/>
              <w:right w:val="single" w:color="auto" w:sz="4" w:space="0"/>
            </w:tcBorders>
            <w:vAlign w:val="center"/>
          </w:tcPr>
          <w:p>
            <w:pPr>
              <w:jc w:val="left"/>
              <w:rPr>
                <w:rFonts w:ascii="宋体" w:hAnsi="宋体" w:cs="宋体"/>
                <w:snapToGrid w:val="0"/>
                <w:szCs w:val="21"/>
              </w:rPr>
            </w:pPr>
          </w:p>
        </w:tc>
        <w:tc>
          <w:tcPr>
            <w:tcW w:w="709" w:type="dxa"/>
            <w:vMerge w:val="continue"/>
            <w:tcBorders>
              <w:left w:val="single" w:color="auto" w:sz="4" w:space="0"/>
              <w:bottom w:val="single" w:color="auto" w:sz="4" w:space="0"/>
              <w:right w:val="single" w:color="auto" w:sz="4" w:space="0"/>
            </w:tcBorders>
            <w:shd w:val="clear" w:color="auto" w:fill="auto"/>
            <w:vAlign w:val="center"/>
          </w:tcPr>
          <w:p>
            <w:pPr>
              <w:jc w:val="left"/>
              <w:rPr>
                <w:rFonts w:ascii="宋体" w:hAnsi="宋体" w:cs="宋体"/>
                <w:snapToGrid w:val="0"/>
                <w:szCs w:val="21"/>
              </w:rPr>
            </w:pPr>
          </w:p>
        </w:tc>
        <w:tc>
          <w:tcPr>
            <w:tcW w:w="1701" w:type="dxa"/>
            <w:tcBorders>
              <w:top w:val="nil"/>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应急措施</w:t>
            </w:r>
          </w:p>
        </w:tc>
        <w:tc>
          <w:tcPr>
            <w:tcW w:w="850" w:type="dxa"/>
            <w:tcBorders>
              <w:top w:val="nil"/>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5分</w:t>
            </w:r>
          </w:p>
        </w:tc>
        <w:tc>
          <w:tcPr>
            <w:tcW w:w="5387"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针对经营易发生的问题应有应急措施。</w:t>
            </w:r>
          </w:p>
        </w:tc>
      </w:tr>
      <w:tr>
        <w:tblPrEx>
          <w:tblLayout w:type="fixed"/>
          <w:tblCellMar>
            <w:top w:w="0" w:type="dxa"/>
            <w:left w:w="108" w:type="dxa"/>
            <w:bottom w:w="0" w:type="dxa"/>
            <w:right w:w="108" w:type="dxa"/>
          </w:tblCellMar>
        </w:tblPrEx>
        <w:trPr>
          <w:trHeight w:val="20" w:hRule="atLeast"/>
        </w:trPr>
        <w:tc>
          <w:tcPr>
            <w:tcW w:w="568" w:type="dxa"/>
            <w:vMerge w:val="restart"/>
            <w:tcBorders>
              <w:top w:val="nil"/>
              <w:left w:val="single" w:color="auto" w:sz="4" w:space="0"/>
              <w:right w:val="single" w:color="auto" w:sz="4" w:space="0"/>
            </w:tcBorders>
            <w:vAlign w:val="center"/>
          </w:tcPr>
          <w:p>
            <w:pPr>
              <w:jc w:val="left"/>
              <w:rPr>
                <w:rFonts w:ascii="宋体" w:hAnsi="宋体" w:cs="宋体"/>
                <w:snapToGrid w:val="0"/>
                <w:szCs w:val="21"/>
              </w:rPr>
            </w:pPr>
            <w:r>
              <w:rPr>
                <w:rFonts w:hint="eastAsia" w:ascii="宋体" w:hAnsi="宋体" w:cs="宋体"/>
                <w:snapToGrid w:val="0"/>
                <w:szCs w:val="21"/>
              </w:rPr>
              <w:t>3</w:t>
            </w:r>
          </w:p>
        </w:tc>
        <w:tc>
          <w:tcPr>
            <w:tcW w:w="709" w:type="dxa"/>
            <w:vMerge w:val="restart"/>
            <w:tcBorders>
              <w:top w:val="nil"/>
              <w:left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服务承诺（15分）</w:t>
            </w:r>
          </w:p>
        </w:tc>
        <w:tc>
          <w:tcPr>
            <w:tcW w:w="1701" w:type="dxa"/>
            <w:tcBorders>
              <w:top w:val="nil"/>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进退场承诺</w:t>
            </w:r>
          </w:p>
        </w:tc>
        <w:tc>
          <w:tcPr>
            <w:tcW w:w="850" w:type="dxa"/>
            <w:tcBorders>
              <w:top w:val="nil"/>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3分</w:t>
            </w:r>
          </w:p>
        </w:tc>
        <w:tc>
          <w:tcPr>
            <w:tcW w:w="5387"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提供详细的、可操作性强的进场、退场计划及相关承诺。</w:t>
            </w:r>
          </w:p>
        </w:tc>
      </w:tr>
      <w:tr>
        <w:tblPrEx>
          <w:tblLayout w:type="fixed"/>
          <w:tblCellMar>
            <w:top w:w="0" w:type="dxa"/>
            <w:left w:w="108" w:type="dxa"/>
            <w:bottom w:w="0" w:type="dxa"/>
            <w:right w:w="108" w:type="dxa"/>
          </w:tblCellMar>
        </w:tblPrEx>
        <w:trPr>
          <w:trHeight w:val="20" w:hRule="atLeast"/>
        </w:trPr>
        <w:tc>
          <w:tcPr>
            <w:tcW w:w="568" w:type="dxa"/>
            <w:vMerge w:val="continue"/>
            <w:tcBorders>
              <w:left w:val="single" w:color="auto" w:sz="4" w:space="0"/>
              <w:right w:val="single" w:color="auto" w:sz="4" w:space="0"/>
            </w:tcBorders>
            <w:shd w:val="clear" w:color="auto" w:fill="auto"/>
            <w:vAlign w:val="center"/>
          </w:tcPr>
          <w:p>
            <w:pPr>
              <w:jc w:val="left"/>
              <w:rPr>
                <w:rFonts w:ascii="宋体" w:hAnsi="宋体" w:cs="宋体"/>
                <w:snapToGrid w:val="0"/>
                <w:szCs w:val="21"/>
              </w:rPr>
            </w:pPr>
          </w:p>
        </w:tc>
        <w:tc>
          <w:tcPr>
            <w:tcW w:w="709" w:type="dxa"/>
            <w:vMerge w:val="continue"/>
            <w:tcBorders>
              <w:left w:val="single" w:color="auto" w:sz="4" w:space="0"/>
              <w:right w:val="single" w:color="auto" w:sz="4" w:space="0"/>
            </w:tcBorders>
            <w:shd w:val="clear" w:color="auto" w:fill="auto"/>
            <w:vAlign w:val="center"/>
          </w:tcPr>
          <w:p>
            <w:pPr>
              <w:jc w:val="left"/>
              <w:rPr>
                <w:rFonts w:ascii="宋体" w:hAnsi="宋体" w:cs="宋体"/>
                <w:snapToGrid w:val="0"/>
                <w:szCs w:val="21"/>
              </w:rPr>
            </w:pPr>
          </w:p>
        </w:tc>
        <w:tc>
          <w:tcPr>
            <w:tcW w:w="1701" w:type="dxa"/>
            <w:tcBorders>
              <w:top w:val="nil"/>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响应速度及纠纷处理</w:t>
            </w:r>
          </w:p>
        </w:tc>
        <w:tc>
          <w:tcPr>
            <w:tcW w:w="850" w:type="dxa"/>
            <w:tcBorders>
              <w:top w:val="nil"/>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2分</w:t>
            </w:r>
          </w:p>
        </w:tc>
        <w:tc>
          <w:tcPr>
            <w:tcW w:w="5387"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公布投诉电话、邮箱、微信号等，有纠纷处理方案（如先行赔付措施等）、处理流程及承诺处理时间。</w:t>
            </w:r>
          </w:p>
        </w:tc>
      </w:tr>
      <w:tr>
        <w:tblPrEx>
          <w:tblLayout w:type="fixed"/>
          <w:tblCellMar>
            <w:top w:w="0" w:type="dxa"/>
            <w:left w:w="108" w:type="dxa"/>
            <w:bottom w:w="0" w:type="dxa"/>
            <w:right w:w="108" w:type="dxa"/>
          </w:tblCellMar>
        </w:tblPrEx>
        <w:trPr>
          <w:trHeight w:val="20" w:hRule="atLeast"/>
        </w:trPr>
        <w:tc>
          <w:tcPr>
            <w:tcW w:w="568" w:type="dxa"/>
            <w:vMerge w:val="continue"/>
            <w:tcBorders>
              <w:left w:val="single" w:color="auto" w:sz="4" w:space="0"/>
              <w:right w:val="single" w:color="auto" w:sz="4" w:space="0"/>
            </w:tcBorders>
            <w:shd w:val="clear" w:color="auto" w:fill="auto"/>
            <w:vAlign w:val="center"/>
          </w:tcPr>
          <w:p>
            <w:pPr>
              <w:jc w:val="left"/>
              <w:rPr>
                <w:rFonts w:ascii="宋体" w:hAnsi="宋体" w:cs="宋体"/>
                <w:snapToGrid w:val="0"/>
                <w:szCs w:val="21"/>
              </w:rPr>
            </w:pPr>
          </w:p>
        </w:tc>
        <w:tc>
          <w:tcPr>
            <w:tcW w:w="709" w:type="dxa"/>
            <w:vMerge w:val="continue"/>
            <w:tcBorders>
              <w:left w:val="single" w:color="auto" w:sz="4" w:space="0"/>
              <w:right w:val="single" w:color="auto" w:sz="4" w:space="0"/>
            </w:tcBorders>
            <w:shd w:val="clear" w:color="auto" w:fill="auto"/>
            <w:vAlign w:val="center"/>
          </w:tcPr>
          <w:p>
            <w:pPr>
              <w:jc w:val="left"/>
              <w:rPr>
                <w:rFonts w:ascii="宋体" w:hAnsi="宋体" w:cs="宋体"/>
                <w:snapToGrid w:val="0"/>
                <w:szCs w:val="21"/>
              </w:rPr>
            </w:pPr>
          </w:p>
        </w:tc>
        <w:tc>
          <w:tcPr>
            <w:tcW w:w="1701" w:type="dxa"/>
            <w:tcBorders>
              <w:top w:val="nil"/>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对招租要求的响应情况</w:t>
            </w:r>
          </w:p>
        </w:tc>
        <w:tc>
          <w:tcPr>
            <w:tcW w:w="850" w:type="dxa"/>
            <w:tcBorders>
              <w:top w:val="nil"/>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ascii="宋体" w:hAnsi="宋体" w:cs="宋体"/>
                <w:snapToGrid w:val="0"/>
                <w:szCs w:val="21"/>
              </w:rPr>
              <w:t>3分</w:t>
            </w:r>
          </w:p>
        </w:tc>
        <w:tc>
          <w:tcPr>
            <w:tcW w:w="5387"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根据申请人对招租要求的响应程度进行评分。</w:t>
            </w:r>
          </w:p>
        </w:tc>
      </w:tr>
      <w:tr>
        <w:tblPrEx>
          <w:tblLayout w:type="fixed"/>
          <w:tblCellMar>
            <w:top w:w="0" w:type="dxa"/>
            <w:left w:w="108" w:type="dxa"/>
            <w:bottom w:w="0" w:type="dxa"/>
            <w:right w:w="108" w:type="dxa"/>
          </w:tblCellMar>
        </w:tblPrEx>
        <w:trPr>
          <w:trHeight w:val="675" w:hRule="atLeast"/>
        </w:trPr>
        <w:tc>
          <w:tcPr>
            <w:tcW w:w="568" w:type="dxa"/>
            <w:vMerge w:val="continue"/>
            <w:tcBorders>
              <w:left w:val="single" w:color="auto" w:sz="4" w:space="0"/>
              <w:bottom w:val="single" w:color="auto" w:sz="4" w:space="0"/>
              <w:right w:val="single" w:color="auto" w:sz="4" w:space="0"/>
            </w:tcBorders>
            <w:shd w:val="clear" w:color="auto" w:fill="auto"/>
            <w:vAlign w:val="center"/>
          </w:tcPr>
          <w:p>
            <w:pPr>
              <w:jc w:val="left"/>
              <w:rPr>
                <w:rFonts w:ascii="宋体" w:hAnsi="宋体" w:cs="宋体"/>
                <w:snapToGrid w:val="0"/>
                <w:szCs w:val="21"/>
              </w:rPr>
            </w:pPr>
          </w:p>
        </w:tc>
        <w:tc>
          <w:tcPr>
            <w:tcW w:w="709" w:type="dxa"/>
            <w:vMerge w:val="continue"/>
            <w:tcBorders>
              <w:left w:val="single" w:color="auto" w:sz="4" w:space="0"/>
              <w:bottom w:val="single" w:color="auto" w:sz="4" w:space="0"/>
              <w:right w:val="single" w:color="auto" w:sz="4" w:space="0"/>
            </w:tcBorders>
            <w:shd w:val="clear" w:color="auto" w:fill="auto"/>
            <w:vAlign w:val="center"/>
          </w:tcPr>
          <w:p>
            <w:pPr>
              <w:jc w:val="left"/>
              <w:rPr>
                <w:rFonts w:ascii="宋体" w:hAnsi="宋体" w:cs="宋体"/>
                <w:snapToGrid w:val="0"/>
                <w:szCs w:val="21"/>
              </w:rPr>
            </w:pPr>
          </w:p>
        </w:tc>
        <w:tc>
          <w:tcPr>
            <w:tcW w:w="1701"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货品价格控制措施</w:t>
            </w:r>
          </w:p>
        </w:tc>
        <w:tc>
          <w:tcPr>
            <w:tcW w:w="850" w:type="dxa"/>
            <w:tcBorders>
              <w:top w:val="single" w:color="auto" w:sz="4" w:space="0"/>
              <w:left w:val="nil"/>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7分</w:t>
            </w:r>
          </w:p>
        </w:tc>
        <w:tc>
          <w:tcPr>
            <w:tcW w:w="5387" w:type="dxa"/>
            <w:tcBorders>
              <w:top w:val="single" w:color="auto" w:sz="4" w:space="0"/>
              <w:left w:val="nil"/>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（1）有规范的财务管理制度和合理的定价机制，合理控制利润；商品价格与周边超市相比具有竞争力。</w:t>
            </w:r>
          </w:p>
          <w:p>
            <w:pPr>
              <w:jc w:val="left"/>
              <w:rPr>
                <w:rFonts w:ascii="宋体" w:hAnsi="宋体" w:cs="宋体"/>
                <w:snapToGrid w:val="0"/>
                <w:szCs w:val="21"/>
              </w:rPr>
            </w:pPr>
            <w:r>
              <w:rPr>
                <w:rFonts w:hint="eastAsia" w:ascii="宋体" w:hAnsi="宋体" w:cs="宋体"/>
                <w:snapToGrid w:val="0"/>
                <w:szCs w:val="21"/>
              </w:rPr>
              <w:t>（2）定期开展让利优惠活动,。</w:t>
            </w:r>
          </w:p>
        </w:tc>
      </w:tr>
      <w:tr>
        <w:tblPrEx>
          <w:tblLayout w:type="fixed"/>
          <w:tblCellMar>
            <w:top w:w="0" w:type="dxa"/>
            <w:left w:w="108" w:type="dxa"/>
            <w:bottom w:w="0" w:type="dxa"/>
            <w:right w:w="108" w:type="dxa"/>
          </w:tblCellMar>
        </w:tblPrEx>
        <w:trPr>
          <w:trHeight w:val="551" w:hRule="atLeast"/>
        </w:trPr>
        <w:tc>
          <w:tcPr>
            <w:tcW w:w="568"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4</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ascii="宋体" w:hAnsi="宋体" w:cs="宋体"/>
                <w:snapToGrid w:val="0"/>
                <w:szCs w:val="21"/>
              </w:rPr>
              <w:t>原租户经营情况</w:t>
            </w:r>
            <w:r>
              <w:rPr>
                <w:rFonts w:hint="eastAsia" w:ascii="宋体" w:hAnsi="宋体" w:cs="宋体"/>
                <w:snapToGrid w:val="0"/>
                <w:szCs w:val="21"/>
              </w:rPr>
              <w:t>（5分）</w:t>
            </w:r>
          </w:p>
        </w:tc>
        <w:tc>
          <w:tcPr>
            <w:tcW w:w="1701"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p>
        </w:tc>
        <w:tc>
          <w:tcPr>
            <w:tcW w:w="850"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5分</w:t>
            </w:r>
          </w:p>
        </w:tc>
        <w:tc>
          <w:tcPr>
            <w:tcW w:w="5387"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snapToGrid w:val="0"/>
                <w:szCs w:val="21"/>
              </w:rPr>
            </w:pPr>
            <w:r>
              <w:rPr>
                <w:rFonts w:hint="eastAsia" w:ascii="宋体" w:hAnsi="宋体" w:cs="宋体"/>
                <w:snapToGrid w:val="0"/>
                <w:szCs w:val="21"/>
              </w:rPr>
              <w:t>如申请人为原租户，则根据其合同履行情况、检查（投诉）、师生评价情况等进行综合评价。</w:t>
            </w:r>
          </w:p>
        </w:tc>
      </w:tr>
      <w:bookmarkEnd w:id="1"/>
    </w:tbl>
    <w:p>
      <w:pPr>
        <w:widowControl/>
        <w:tabs>
          <w:tab w:val="left" w:pos="630"/>
        </w:tabs>
        <w:spacing w:line="480" w:lineRule="exact"/>
        <w:ind w:firstLine="560" w:firstLineChars="200"/>
        <w:jc w:val="left"/>
        <w:rPr>
          <w:rFonts w:eastAsia="仿宋_GB2312"/>
          <w:bCs/>
          <w:sz w:val="28"/>
          <w:szCs w:val="28"/>
        </w:rPr>
      </w:pP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3.2.2价格评价</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3.2.2.1价格得分的计算：申请人的租金报价作为最终报价和评审依据，将评审小组校核后的各申请人的竞租报价定义为评审价格。取各评审价格的最高值作为评审基准价格。各申请人的价格得分按以下公式计算（四舍五入后保留小数点后两位有效数字）：</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价格得分=（评审价格/评审基准价格）×35</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3.2.2.2报价的校核：各申请人的报价如存在报价的算术错误、缺项、单列项等情况，则评审小组按下述原则进行校核、评审或作出必要的修正。如果出现多种处理原则所产生的结果不一致的情况，以最高的修正价作为评审价格。评审小组按下述原则调整的价格对其申请人具有约束力。如果申请人不接受修正后的价格，其申请将被拒绝。</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大写金额与小写金额不一致的，以大写金额为准；</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总价金额与按单价汇总金额不一致的，以单价金额计算结果为准；</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单价金额小数点有明显错位的，应以总价为准，并修改单价。</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3.2.3最终排序</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技术商务及价格权重分配：</w:t>
      </w:r>
    </w:p>
    <w:tbl>
      <w:tblPr>
        <w:tblStyle w:val="11"/>
        <w:tblW w:w="8416" w:type="dxa"/>
        <w:tblInd w:w="82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670"/>
        <w:gridCol w:w="2873"/>
        <w:gridCol w:w="287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00" w:hRule="atLeast"/>
        </w:trPr>
        <w:tc>
          <w:tcPr>
            <w:tcW w:w="2670"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szCs w:val="21"/>
              </w:rPr>
            </w:pPr>
            <w:r>
              <w:rPr>
                <w:rFonts w:hint="eastAsia" w:ascii="宋体" w:hAnsi="宋体"/>
                <w:szCs w:val="21"/>
              </w:rPr>
              <w:t>评分项目</w:t>
            </w:r>
          </w:p>
        </w:tc>
        <w:tc>
          <w:tcPr>
            <w:tcW w:w="287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szCs w:val="21"/>
              </w:rPr>
            </w:pPr>
            <w:r>
              <w:rPr>
                <w:rFonts w:hint="eastAsia" w:ascii="宋体" w:hAnsi="宋体"/>
                <w:szCs w:val="21"/>
              </w:rPr>
              <w:t>技术商务得分（A</w:t>
            </w:r>
            <w:r>
              <w:rPr>
                <w:rFonts w:hint="eastAsia" w:ascii="宋体" w:hAnsi="宋体"/>
                <w:szCs w:val="21"/>
                <w:vertAlign w:val="subscript"/>
              </w:rPr>
              <w:t>1</w:t>
            </w:r>
            <w:r>
              <w:rPr>
                <w:rFonts w:hint="eastAsia" w:ascii="宋体" w:hAnsi="宋体"/>
                <w:szCs w:val="21"/>
              </w:rPr>
              <w:t>）</w:t>
            </w:r>
          </w:p>
        </w:tc>
        <w:tc>
          <w:tcPr>
            <w:tcW w:w="287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szCs w:val="21"/>
              </w:rPr>
            </w:pPr>
            <w:r>
              <w:rPr>
                <w:rFonts w:hint="eastAsia" w:ascii="宋体" w:hAnsi="宋体"/>
                <w:szCs w:val="21"/>
              </w:rPr>
              <w:t>价格得分（A</w:t>
            </w:r>
            <w:r>
              <w:rPr>
                <w:rFonts w:hint="eastAsia" w:ascii="宋体" w:hAnsi="宋体"/>
                <w:szCs w:val="21"/>
                <w:vertAlign w:val="subscript"/>
              </w:rPr>
              <w:t>2</w:t>
            </w:r>
            <w:r>
              <w:rPr>
                <w:rFonts w:hint="eastAsia" w:ascii="宋体" w:hAnsi="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00" w:hRule="atLeast"/>
        </w:trPr>
        <w:tc>
          <w:tcPr>
            <w:tcW w:w="2670"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szCs w:val="21"/>
              </w:rPr>
            </w:pPr>
            <w:r>
              <w:rPr>
                <w:rFonts w:hint="eastAsia" w:ascii="宋体" w:hAnsi="宋体"/>
                <w:szCs w:val="21"/>
              </w:rPr>
              <w:t>权重</w:t>
            </w:r>
            <w:r>
              <w:rPr>
                <w:rFonts w:hint="eastAsia" w:ascii="宋体" w:hAnsi="宋体"/>
                <w:i/>
                <w:szCs w:val="21"/>
              </w:rPr>
              <w:t>（</w:t>
            </w:r>
            <w:r>
              <w:rPr>
                <w:rFonts w:hint="eastAsia" w:ascii="宋体" w:hAnsi="宋体"/>
                <w:szCs w:val="21"/>
              </w:rPr>
              <w:t>A</w:t>
            </w:r>
            <w:r>
              <w:rPr>
                <w:rFonts w:hint="eastAsia" w:ascii="宋体" w:hAnsi="宋体"/>
                <w:szCs w:val="21"/>
                <w:vertAlign w:val="subscript"/>
              </w:rPr>
              <w:t>1</w:t>
            </w:r>
            <w:r>
              <w:rPr>
                <w:rFonts w:hint="eastAsia" w:ascii="宋体" w:hAnsi="宋体"/>
                <w:i/>
                <w:szCs w:val="21"/>
              </w:rPr>
              <w:t>+</w:t>
            </w:r>
            <w:r>
              <w:rPr>
                <w:rFonts w:hint="eastAsia" w:ascii="宋体" w:hAnsi="宋体"/>
                <w:szCs w:val="21"/>
              </w:rPr>
              <w:t xml:space="preserve"> A</w:t>
            </w:r>
            <w:r>
              <w:rPr>
                <w:rFonts w:hint="eastAsia" w:ascii="宋体" w:hAnsi="宋体"/>
                <w:szCs w:val="21"/>
                <w:vertAlign w:val="subscript"/>
              </w:rPr>
              <w:t>2</w:t>
            </w:r>
            <w:r>
              <w:rPr>
                <w:rFonts w:hint="eastAsia" w:ascii="宋体" w:hAnsi="宋体"/>
                <w:i/>
                <w:szCs w:val="21"/>
              </w:rPr>
              <w:t xml:space="preserve"> =100）</w:t>
            </w:r>
          </w:p>
        </w:tc>
        <w:tc>
          <w:tcPr>
            <w:tcW w:w="287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szCs w:val="21"/>
              </w:rPr>
            </w:pPr>
            <w:r>
              <w:rPr>
                <w:rFonts w:hint="eastAsia" w:ascii="宋体" w:hAnsi="宋体"/>
                <w:szCs w:val="21"/>
              </w:rPr>
              <w:t>65分</w:t>
            </w:r>
          </w:p>
        </w:tc>
        <w:tc>
          <w:tcPr>
            <w:tcW w:w="287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szCs w:val="21"/>
              </w:rPr>
            </w:pPr>
            <w:r>
              <w:rPr>
                <w:rFonts w:hint="eastAsia" w:ascii="宋体" w:hAnsi="宋体"/>
                <w:szCs w:val="21"/>
              </w:rPr>
              <w:t>35分</w:t>
            </w:r>
          </w:p>
        </w:tc>
      </w:tr>
    </w:tbl>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以上述技术商务及价格的分类汇总评分（分别为</w:t>
      </w:r>
      <w:r>
        <w:rPr>
          <w:rFonts w:hint="eastAsia" w:ascii="宋体" w:hAnsi="宋体"/>
          <w:szCs w:val="21"/>
        </w:rPr>
        <w:t>A</w:t>
      </w:r>
      <w:r>
        <w:rPr>
          <w:rFonts w:hint="eastAsia" w:ascii="宋体" w:hAnsi="宋体"/>
          <w:szCs w:val="21"/>
          <w:vertAlign w:val="subscript"/>
        </w:rPr>
        <w:t>1</w:t>
      </w:r>
      <w:r>
        <w:rPr>
          <w:rFonts w:hint="eastAsia" w:eastAsia="仿宋_GB2312"/>
          <w:bCs/>
          <w:sz w:val="28"/>
          <w:szCs w:val="28"/>
        </w:rPr>
        <w:t>、</w:t>
      </w:r>
      <w:r>
        <w:rPr>
          <w:rFonts w:hint="eastAsia" w:ascii="宋体" w:hAnsi="宋体"/>
          <w:szCs w:val="21"/>
        </w:rPr>
        <w:t>A</w:t>
      </w:r>
      <w:r>
        <w:rPr>
          <w:rFonts w:hint="eastAsia" w:ascii="宋体" w:hAnsi="宋体"/>
          <w:szCs w:val="21"/>
          <w:vertAlign w:val="subscript"/>
        </w:rPr>
        <w:t>2</w:t>
      </w:r>
      <w:r>
        <w:rPr>
          <w:rFonts w:hint="eastAsia" w:eastAsia="仿宋_GB2312"/>
          <w:bCs/>
          <w:sz w:val="28"/>
          <w:szCs w:val="28"/>
        </w:rPr>
        <w:t>），代入下列公式计算出各申请人的综合总得分，并按总得分从高至低对进入详细评审的各申请人排序（得分相同时，报价总价低者列前；得分及价格均相同时，技术指标优者列前）。</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总得分=技术商务得分+价格得分</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3.3承租候选人</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评审小组填写评审结果汇总表，并按本指南条款向招租人推荐有排序的两位承租候选人。</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3.4 招租结果公示</w:t>
      </w:r>
    </w:p>
    <w:p>
      <w:pPr>
        <w:widowControl/>
        <w:tabs>
          <w:tab w:val="left" w:pos="630"/>
        </w:tabs>
        <w:spacing w:line="480" w:lineRule="exact"/>
        <w:ind w:firstLine="560" w:firstLineChars="200"/>
        <w:rPr>
          <w:rFonts w:eastAsia="仿宋_GB2312"/>
          <w:bCs/>
          <w:sz w:val="28"/>
          <w:szCs w:val="28"/>
        </w:rPr>
      </w:pPr>
      <w:r>
        <w:rPr>
          <w:rFonts w:hint="eastAsia" w:eastAsia="仿宋_GB2312"/>
          <w:bCs/>
          <w:sz w:val="28"/>
          <w:szCs w:val="28"/>
        </w:rPr>
        <w:t>招租评审结果（</w:t>
      </w:r>
      <w:r>
        <w:rPr>
          <w:rFonts w:hint="eastAsia" w:eastAsia="仿宋_GB2312"/>
          <w:sz w:val="28"/>
          <w:szCs w:val="28"/>
        </w:rPr>
        <w:t>第一承租候选人的相关信息</w:t>
      </w:r>
      <w:r>
        <w:rPr>
          <w:rFonts w:hint="eastAsia" w:eastAsia="仿宋_GB2312"/>
          <w:bCs/>
          <w:sz w:val="28"/>
          <w:szCs w:val="28"/>
        </w:rPr>
        <w:t>）在总务处网站公示</w:t>
      </w:r>
      <w:r>
        <w:rPr>
          <w:rFonts w:hint="eastAsia" w:eastAsia="仿宋_GB2312"/>
          <w:bCs/>
          <w:sz w:val="28"/>
          <w:szCs w:val="28"/>
          <w:lang w:val="en-US" w:eastAsia="zh-CN"/>
        </w:rPr>
        <w:t>5</w:t>
      </w:r>
      <w:bookmarkStart w:id="2" w:name="_GoBack"/>
      <w:bookmarkEnd w:id="2"/>
      <w:r>
        <w:rPr>
          <w:rFonts w:hint="eastAsia" w:eastAsia="仿宋_GB2312"/>
          <w:bCs/>
          <w:sz w:val="28"/>
          <w:szCs w:val="28"/>
        </w:rPr>
        <w:t>个工作日。</w:t>
      </w:r>
    </w:p>
    <w:bookmarkEnd w:id="0"/>
    <w:p>
      <w:pPr>
        <w:adjustRightInd w:val="0"/>
        <w:snapToGrid w:val="0"/>
        <w:spacing w:line="480" w:lineRule="exact"/>
        <w:ind w:firstLine="560" w:firstLineChars="200"/>
        <w:rPr>
          <w:rFonts w:eastAsia="仿宋_GB2312"/>
          <w:sz w:val="28"/>
          <w:szCs w:val="28"/>
        </w:rPr>
      </w:pPr>
      <w:r>
        <w:rPr>
          <w:rFonts w:hint="eastAsia" w:eastAsia="仿宋_GB2312"/>
          <w:sz w:val="28"/>
          <w:szCs w:val="28"/>
        </w:rPr>
        <w:t xml:space="preserve"> 3.5招租结果通知</w:t>
      </w:r>
    </w:p>
    <w:p>
      <w:pPr>
        <w:adjustRightInd w:val="0"/>
        <w:snapToGrid w:val="0"/>
        <w:spacing w:line="480" w:lineRule="exact"/>
        <w:ind w:firstLine="560" w:firstLineChars="200"/>
        <w:rPr>
          <w:rFonts w:eastAsia="仿宋_GB2312"/>
          <w:sz w:val="28"/>
          <w:szCs w:val="28"/>
        </w:rPr>
      </w:pPr>
      <w:r>
        <w:rPr>
          <w:rFonts w:hint="eastAsia" w:eastAsia="仿宋_GB2312"/>
          <w:sz w:val="28"/>
          <w:szCs w:val="28"/>
        </w:rPr>
        <w:t>在公示招租评审结果且无异议后，总务</w:t>
      </w:r>
      <w:r>
        <w:rPr>
          <w:rFonts w:eastAsia="仿宋_GB2312"/>
          <w:bCs/>
          <w:sz w:val="28"/>
          <w:szCs w:val="28"/>
        </w:rPr>
        <w:t>处</w:t>
      </w:r>
      <w:r>
        <w:rPr>
          <w:rFonts w:eastAsia="仿宋_GB2312"/>
          <w:sz w:val="28"/>
          <w:szCs w:val="28"/>
        </w:rPr>
        <w:t>以有效的方式通知</w:t>
      </w:r>
      <w:r>
        <w:rPr>
          <w:rFonts w:hint="eastAsia" w:eastAsia="仿宋_GB2312"/>
          <w:sz w:val="28"/>
          <w:szCs w:val="28"/>
        </w:rPr>
        <w:t>各项目的第一承租候选人</w:t>
      </w:r>
      <w:r>
        <w:rPr>
          <w:rFonts w:eastAsia="仿宋_GB2312"/>
          <w:sz w:val="28"/>
          <w:szCs w:val="28"/>
        </w:rPr>
        <w:t>领取</w:t>
      </w:r>
      <w:r>
        <w:rPr>
          <w:rFonts w:hint="eastAsia" w:eastAsia="仿宋_GB2312"/>
          <w:sz w:val="28"/>
          <w:szCs w:val="28"/>
        </w:rPr>
        <w:t>招租结果</w:t>
      </w:r>
      <w:r>
        <w:rPr>
          <w:rFonts w:eastAsia="仿宋_GB2312"/>
          <w:sz w:val="28"/>
          <w:szCs w:val="28"/>
        </w:rPr>
        <w:t>通知书</w:t>
      </w:r>
      <w:r>
        <w:rPr>
          <w:rFonts w:hint="eastAsia" w:eastAsia="仿宋_GB2312"/>
          <w:sz w:val="28"/>
          <w:szCs w:val="28"/>
        </w:rPr>
        <w:t>，履行签订租赁合同的相关手续。其他租赁申请人不再一一通知。</w:t>
      </w:r>
    </w:p>
    <w:p>
      <w:pPr>
        <w:adjustRightInd w:val="0"/>
        <w:snapToGrid w:val="0"/>
        <w:spacing w:line="480" w:lineRule="exact"/>
        <w:ind w:firstLine="560" w:firstLineChars="200"/>
        <w:rPr>
          <w:rFonts w:eastAsia="仿宋_GB2312"/>
          <w:sz w:val="28"/>
          <w:szCs w:val="28"/>
        </w:rPr>
      </w:pPr>
      <w:r>
        <w:rPr>
          <w:rFonts w:hint="eastAsia" w:eastAsia="仿宋_GB2312"/>
          <w:sz w:val="28"/>
          <w:szCs w:val="28"/>
        </w:rPr>
        <w:t>3.6 如有下列情形之一的，招租单位可以确定第二承租候选人为承租人：</w:t>
      </w:r>
    </w:p>
    <w:p>
      <w:pPr>
        <w:adjustRightInd w:val="0"/>
        <w:snapToGrid w:val="0"/>
        <w:spacing w:line="480" w:lineRule="exact"/>
        <w:ind w:firstLine="560" w:firstLineChars="200"/>
        <w:rPr>
          <w:rFonts w:eastAsia="仿宋_GB2312"/>
          <w:sz w:val="28"/>
          <w:szCs w:val="28"/>
        </w:rPr>
      </w:pPr>
      <w:r>
        <w:rPr>
          <w:rFonts w:hint="eastAsia" w:eastAsia="仿宋_GB2312"/>
          <w:sz w:val="28"/>
          <w:szCs w:val="28"/>
        </w:rPr>
        <w:t>3.6.1在公示招租评审结果期间，第一承租候选人的资格被质疑，且经招租单位查证其不符合承租资格的；</w:t>
      </w:r>
    </w:p>
    <w:p>
      <w:pPr>
        <w:adjustRightInd w:val="0"/>
        <w:snapToGrid w:val="0"/>
        <w:spacing w:line="480" w:lineRule="exact"/>
        <w:ind w:firstLine="560" w:firstLineChars="200"/>
        <w:rPr>
          <w:rFonts w:eastAsia="仿宋_GB2312"/>
          <w:sz w:val="28"/>
          <w:szCs w:val="28"/>
        </w:rPr>
      </w:pPr>
      <w:r>
        <w:rPr>
          <w:rFonts w:hint="eastAsia" w:eastAsia="仿宋_GB2312"/>
          <w:sz w:val="28"/>
          <w:szCs w:val="28"/>
        </w:rPr>
        <w:t>3.6.2第一承租候选人未在规定时间内领取招租结果通知书并缴纳承租保证金的；</w:t>
      </w:r>
    </w:p>
    <w:p>
      <w:pPr>
        <w:adjustRightInd w:val="0"/>
        <w:snapToGrid w:val="0"/>
        <w:spacing w:line="480" w:lineRule="exact"/>
        <w:ind w:firstLine="560" w:firstLineChars="200"/>
        <w:rPr>
          <w:rFonts w:eastAsia="仿宋_GB2312"/>
          <w:sz w:val="28"/>
          <w:szCs w:val="28"/>
        </w:rPr>
      </w:pPr>
      <w:r>
        <w:rPr>
          <w:rFonts w:hint="eastAsia" w:eastAsia="仿宋_GB2312"/>
          <w:sz w:val="28"/>
          <w:szCs w:val="28"/>
        </w:rPr>
        <w:t>3.6.3第一承租候选人未在规定时间内签订租赁合同的；</w:t>
      </w:r>
    </w:p>
    <w:p>
      <w:pPr>
        <w:adjustRightInd w:val="0"/>
        <w:snapToGrid w:val="0"/>
        <w:spacing w:line="480" w:lineRule="exact"/>
        <w:ind w:firstLine="560" w:firstLineChars="200"/>
        <w:rPr>
          <w:rFonts w:eastAsia="仿宋_GB2312"/>
          <w:sz w:val="28"/>
          <w:szCs w:val="28"/>
        </w:rPr>
      </w:pPr>
      <w:r>
        <w:rPr>
          <w:rFonts w:hint="eastAsia" w:eastAsia="仿宋_GB2312"/>
          <w:sz w:val="28"/>
          <w:szCs w:val="28"/>
        </w:rPr>
        <w:t>3.6.4第一承租候选人书面提出放弃承租的。</w:t>
      </w:r>
    </w:p>
    <w:p>
      <w:pPr>
        <w:adjustRightInd w:val="0"/>
        <w:snapToGrid w:val="0"/>
        <w:spacing w:line="480" w:lineRule="exact"/>
        <w:ind w:firstLine="560" w:firstLineChars="200"/>
        <w:rPr>
          <w:rFonts w:eastAsia="仿宋_GB2312"/>
          <w:sz w:val="28"/>
          <w:szCs w:val="28"/>
        </w:rPr>
      </w:pPr>
      <w:r>
        <w:rPr>
          <w:rStyle w:val="18"/>
          <w:rFonts w:hint="eastAsia" w:eastAsia="仿宋_GB2312"/>
          <w:sz w:val="28"/>
          <w:szCs w:val="28"/>
        </w:rPr>
        <w:t>3.7 若某项目的各租赁申请人均不符合招租要求，招租方可暂不确定该商铺的承租人，并可组织进行再次招租。</w:t>
      </w:r>
    </w:p>
    <w:sectPr>
      <w:pgSz w:w="11906" w:h="16838"/>
      <w:pgMar w:top="1134" w:right="1418" w:bottom="851"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E64400"/>
    <w:multiLevelType w:val="multilevel"/>
    <w:tmpl w:val="45E64400"/>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D7D57"/>
    <w:rsid w:val="000134A0"/>
    <w:rsid w:val="00057C81"/>
    <w:rsid w:val="00061D28"/>
    <w:rsid w:val="00082A82"/>
    <w:rsid w:val="000F0CDB"/>
    <w:rsid w:val="000F676B"/>
    <w:rsid w:val="000F7B87"/>
    <w:rsid w:val="0011218B"/>
    <w:rsid w:val="00114BF5"/>
    <w:rsid w:val="00124197"/>
    <w:rsid w:val="00136C19"/>
    <w:rsid w:val="00157B2A"/>
    <w:rsid w:val="001616EB"/>
    <w:rsid w:val="00163A70"/>
    <w:rsid w:val="001667CF"/>
    <w:rsid w:val="00170E99"/>
    <w:rsid w:val="001718F9"/>
    <w:rsid w:val="00185221"/>
    <w:rsid w:val="001965D8"/>
    <w:rsid w:val="001C3849"/>
    <w:rsid w:val="001C4DE0"/>
    <w:rsid w:val="001F0DB9"/>
    <w:rsid w:val="00231547"/>
    <w:rsid w:val="002354BD"/>
    <w:rsid w:val="00240C2E"/>
    <w:rsid w:val="00244A7A"/>
    <w:rsid w:val="00251A81"/>
    <w:rsid w:val="002A1742"/>
    <w:rsid w:val="002A1EDA"/>
    <w:rsid w:val="002A33AE"/>
    <w:rsid w:val="002A60C1"/>
    <w:rsid w:val="002B0804"/>
    <w:rsid w:val="002C68E7"/>
    <w:rsid w:val="002E3B0E"/>
    <w:rsid w:val="00300CC5"/>
    <w:rsid w:val="00301AEF"/>
    <w:rsid w:val="00304676"/>
    <w:rsid w:val="0031091B"/>
    <w:rsid w:val="003622AC"/>
    <w:rsid w:val="00373D03"/>
    <w:rsid w:val="0037491C"/>
    <w:rsid w:val="00393F33"/>
    <w:rsid w:val="003A5BB0"/>
    <w:rsid w:val="003A5FC5"/>
    <w:rsid w:val="003F255B"/>
    <w:rsid w:val="003F3D51"/>
    <w:rsid w:val="00406FDD"/>
    <w:rsid w:val="004106B3"/>
    <w:rsid w:val="00431E11"/>
    <w:rsid w:val="004361ED"/>
    <w:rsid w:val="00445DA2"/>
    <w:rsid w:val="00452E31"/>
    <w:rsid w:val="00461073"/>
    <w:rsid w:val="004679BD"/>
    <w:rsid w:val="00476045"/>
    <w:rsid w:val="004822E9"/>
    <w:rsid w:val="00490648"/>
    <w:rsid w:val="00492335"/>
    <w:rsid w:val="004B3F6B"/>
    <w:rsid w:val="004D1D9C"/>
    <w:rsid w:val="004D2E7B"/>
    <w:rsid w:val="004E0177"/>
    <w:rsid w:val="004F7E8D"/>
    <w:rsid w:val="005042ED"/>
    <w:rsid w:val="00514189"/>
    <w:rsid w:val="0052179A"/>
    <w:rsid w:val="00527833"/>
    <w:rsid w:val="00530252"/>
    <w:rsid w:val="00531FBE"/>
    <w:rsid w:val="00572C97"/>
    <w:rsid w:val="00582593"/>
    <w:rsid w:val="005840DF"/>
    <w:rsid w:val="00585964"/>
    <w:rsid w:val="005962E3"/>
    <w:rsid w:val="00597F26"/>
    <w:rsid w:val="005B02EC"/>
    <w:rsid w:val="005B1A1E"/>
    <w:rsid w:val="005B255D"/>
    <w:rsid w:val="005B27EC"/>
    <w:rsid w:val="005C0A93"/>
    <w:rsid w:val="005C1891"/>
    <w:rsid w:val="005D4FF1"/>
    <w:rsid w:val="005F0417"/>
    <w:rsid w:val="0060547A"/>
    <w:rsid w:val="006131C1"/>
    <w:rsid w:val="00644CE7"/>
    <w:rsid w:val="00645EB9"/>
    <w:rsid w:val="00684A9F"/>
    <w:rsid w:val="0069182E"/>
    <w:rsid w:val="006A3C51"/>
    <w:rsid w:val="006C0785"/>
    <w:rsid w:val="006C117A"/>
    <w:rsid w:val="006E7808"/>
    <w:rsid w:val="006F3797"/>
    <w:rsid w:val="006F3E58"/>
    <w:rsid w:val="00706BCA"/>
    <w:rsid w:val="0071052C"/>
    <w:rsid w:val="00735337"/>
    <w:rsid w:val="00755FFB"/>
    <w:rsid w:val="007F0B8F"/>
    <w:rsid w:val="00800EA9"/>
    <w:rsid w:val="00802AF9"/>
    <w:rsid w:val="00857333"/>
    <w:rsid w:val="00860BE2"/>
    <w:rsid w:val="00860DA6"/>
    <w:rsid w:val="00866790"/>
    <w:rsid w:val="008723A3"/>
    <w:rsid w:val="0087597E"/>
    <w:rsid w:val="008768DF"/>
    <w:rsid w:val="008B1975"/>
    <w:rsid w:val="008C6819"/>
    <w:rsid w:val="008D0ED8"/>
    <w:rsid w:val="00901748"/>
    <w:rsid w:val="0091766F"/>
    <w:rsid w:val="009472DE"/>
    <w:rsid w:val="0095338A"/>
    <w:rsid w:val="009570DF"/>
    <w:rsid w:val="0096709E"/>
    <w:rsid w:val="00971E4B"/>
    <w:rsid w:val="009866EC"/>
    <w:rsid w:val="009932BF"/>
    <w:rsid w:val="00993526"/>
    <w:rsid w:val="009B1A63"/>
    <w:rsid w:val="009E5B24"/>
    <w:rsid w:val="009E7DA9"/>
    <w:rsid w:val="00A10271"/>
    <w:rsid w:val="00A1300D"/>
    <w:rsid w:val="00A16ACB"/>
    <w:rsid w:val="00A24223"/>
    <w:rsid w:val="00A34D0B"/>
    <w:rsid w:val="00A40980"/>
    <w:rsid w:val="00A431F2"/>
    <w:rsid w:val="00A60B7E"/>
    <w:rsid w:val="00A829E6"/>
    <w:rsid w:val="00A83352"/>
    <w:rsid w:val="00A945E2"/>
    <w:rsid w:val="00A97B3E"/>
    <w:rsid w:val="00AC137A"/>
    <w:rsid w:val="00AF022D"/>
    <w:rsid w:val="00AF6F62"/>
    <w:rsid w:val="00B01862"/>
    <w:rsid w:val="00B12EEC"/>
    <w:rsid w:val="00B15CE5"/>
    <w:rsid w:val="00B4252F"/>
    <w:rsid w:val="00B427A5"/>
    <w:rsid w:val="00B45AE4"/>
    <w:rsid w:val="00B50A0E"/>
    <w:rsid w:val="00B66F84"/>
    <w:rsid w:val="00B91FEE"/>
    <w:rsid w:val="00BC6499"/>
    <w:rsid w:val="00BC6B84"/>
    <w:rsid w:val="00BD24D1"/>
    <w:rsid w:val="00BD7283"/>
    <w:rsid w:val="00BE0448"/>
    <w:rsid w:val="00BE0F54"/>
    <w:rsid w:val="00BF39FE"/>
    <w:rsid w:val="00C00EE5"/>
    <w:rsid w:val="00C01AF4"/>
    <w:rsid w:val="00C03501"/>
    <w:rsid w:val="00C46584"/>
    <w:rsid w:val="00C550FE"/>
    <w:rsid w:val="00C66F26"/>
    <w:rsid w:val="00C70FC7"/>
    <w:rsid w:val="00C73378"/>
    <w:rsid w:val="00C749BF"/>
    <w:rsid w:val="00CB70B0"/>
    <w:rsid w:val="00CD35E6"/>
    <w:rsid w:val="00D00AF2"/>
    <w:rsid w:val="00D25116"/>
    <w:rsid w:val="00D27FFD"/>
    <w:rsid w:val="00D369D8"/>
    <w:rsid w:val="00D41019"/>
    <w:rsid w:val="00D630E4"/>
    <w:rsid w:val="00D6495D"/>
    <w:rsid w:val="00D64E13"/>
    <w:rsid w:val="00D86346"/>
    <w:rsid w:val="00D87C92"/>
    <w:rsid w:val="00DB0F01"/>
    <w:rsid w:val="00DB5E1F"/>
    <w:rsid w:val="00DC006F"/>
    <w:rsid w:val="00DE4B96"/>
    <w:rsid w:val="00DE5011"/>
    <w:rsid w:val="00DF3997"/>
    <w:rsid w:val="00DF6A66"/>
    <w:rsid w:val="00DF6BE2"/>
    <w:rsid w:val="00E068DD"/>
    <w:rsid w:val="00E12402"/>
    <w:rsid w:val="00E17A67"/>
    <w:rsid w:val="00E2281B"/>
    <w:rsid w:val="00E24151"/>
    <w:rsid w:val="00E30D46"/>
    <w:rsid w:val="00E417AB"/>
    <w:rsid w:val="00E61398"/>
    <w:rsid w:val="00E70763"/>
    <w:rsid w:val="00E768EF"/>
    <w:rsid w:val="00E77385"/>
    <w:rsid w:val="00E83025"/>
    <w:rsid w:val="00E87DCE"/>
    <w:rsid w:val="00EB74E4"/>
    <w:rsid w:val="00ED04E3"/>
    <w:rsid w:val="00ED0D52"/>
    <w:rsid w:val="00EF5250"/>
    <w:rsid w:val="00F044AA"/>
    <w:rsid w:val="00F12ACD"/>
    <w:rsid w:val="00F13828"/>
    <w:rsid w:val="00F15CB6"/>
    <w:rsid w:val="00F1684C"/>
    <w:rsid w:val="00F27C5F"/>
    <w:rsid w:val="00F411DF"/>
    <w:rsid w:val="00F55D0D"/>
    <w:rsid w:val="00F564C8"/>
    <w:rsid w:val="00F66FDE"/>
    <w:rsid w:val="00F67896"/>
    <w:rsid w:val="00F74E6B"/>
    <w:rsid w:val="00FA7AAC"/>
    <w:rsid w:val="00FB5C5A"/>
    <w:rsid w:val="00FC4725"/>
    <w:rsid w:val="00FC61A1"/>
    <w:rsid w:val="00FD02B1"/>
    <w:rsid w:val="00FD1711"/>
    <w:rsid w:val="00FD7D57"/>
    <w:rsid w:val="00FF6F79"/>
    <w:rsid w:val="65A2692E"/>
    <w:rsid w:val="6FA34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8">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16"/>
    <w:uiPriority w:val="0"/>
    <w:rPr>
      <w:b/>
      <w:bCs/>
    </w:rPr>
  </w:style>
  <w:style w:type="paragraph" w:styleId="4">
    <w:name w:val="annotation text"/>
    <w:basedOn w:val="1"/>
    <w:link w:val="15"/>
    <w:uiPriority w:val="0"/>
    <w:pPr>
      <w:jc w:val="left"/>
    </w:pPr>
  </w:style>
  <w:style w:type="paragraph" w:styleId="5">
    <w:name w:val="Balloon Text"/>
    <w:basedOn w:val="1"/>
    <w:link w:val="17"/>
    <w:qFormat/>
    <w:uiPriority w:val="0"/>
    <w:rPr>
      <w:sz w:val="18"/>
      <w:szCs w:val="18"/>
    </w:rPr>
  </w:style>
  <w:style w:type="paragraph" w:styleId="6">
    <w:name w:val="footer"/>
    <w:basedOn w:val="1"/>
    <w:link w:val="14"/>
    <w:uiPriority w:val="0"/>
    <w:pPr>
      <w:tabs>
        <w:tab w:val="center" w:pos="4153"/>
        <w:tab w:val="right" w:pos="8306"/>
      </w:tabs>
      <w:snapToGrid w:val="0"/>
      <w:jc w:val="left"/>
    </w:pPr>
    <w:rPr>
      <w:sz w:val="18"/>
      <w:szCs w:val="18"/>
    </w:rPr>
  </w:style>
  <w:style w:type="paragraph" w:styleId="7">
    <w:name w:val="header"/>
    <w:basedOn w:val="1"/>
    <w:link w:val="13"/>
    <w:uiPriority w:val="0"/>
    <w:pPr>
      <w:pBdr>
        <w:bottom w:val="single" w:color="auto" w:sz="6" w:space="1"/>
      </w:pBdr>
      <w:tabs>
        <w:tab w:val="center" w:pos="4153"/>
        <w:tab w:val="right" w:pos="8306"/>
      </w:tabs>
      <w:snapToGrid w:val="0"/>
      <w:jc w:val="center"/>
    </w:pPr>
    <w:rPr>
      <w:sz w:val="18"/>
      <w:szCs w:val="18"/>
    </w:rPr>
  </w:style>
  <w:style w:type="character" w:styleId="9">
    <w:name w:val="Hyperlink"/>
    <w:uiPriority w:val="0"/>
    <w:rPr>
      <w:color w:val="0000FF"/>
      <w:u w:val="single"/>
    </w:rPr>
  </w:style>
  <w:style w:type="character" w:styleId="10">
    <w:name w:val="annotation reference"/>
    <w:uiPriority w:val="0"/>
    <w:rPr>
      <w:sz w:val="21"/>
      <w:szCs w:val="21"/>
    </w:rPr>
  </w:style>
  <w:style w:type="character" w:customStyle="1" w:styleId="12">
    <w:name w:val="已访问的超链接1"/>
    <w:uiPriority w:val="0"/>
    <w:rPr>
      <w:color w:val="800080"/>
      <w:u w:val="single"/>
    </w:rPr>
  </w:style>
  <w:style w:type="character" w:customStyle="1" w:styleId="13">
    <w:name w:val="页眉 Char"/>
    <w:link w:val="7"/>
    <w:uiPriority w:val="0"/>
    <w:rPr>
      <w:kern w:val="2"/>
      <w:sz w:val="18"/>
      <w:szCs w:val="18"/>
    </w:rPr>
  </w:style>
  <w:style w:type="character" w:customStyle="1" w:styleId="14">
    <w:name w:val="页脚 Char"/>
    <w:link w:val="6"/>
    <w:uiPriority w:val="0"/>
    <w:rPr>
      <w:kern w:val="2"/>
      <w:sz w:val="18"/>
      <w:szCs w:val="18"/>
    </w:rPr>
  </w:style>
  <w:style w:type="character" w:customStyle="1" w:styleId="15">
    <w:name w:val="批注文字 Char"/>
    <w:link w:val="4"/>
    <w:uiPriority w:val="0"/>
    <w:rPr>
      <w:kern w:val="2"/>
      <w:sz w:val="21"/>
      <w:szCs w:val="24"/>
    </w:rPr>
  </w:style>
  <w:style w:type="character" w:customStyle="1" w:styleId="16">
    <w:name w:val="批注主题 Char"/>
    <w:link w:val="3"/>
    <w:uiPriority w:val="0"/>
    <w:rPr>
      <w:b/>
      <w:bCs/>
      <w:kern w:val="2"/>
      <w:sz w:val="21"/>
      <w:szCs w:val="24"/>
    </w:rPr>
  </w:style>
  <w:style w:type="character" w:customStyle="1" w:styleId="17">
    <w:name w:val="批注框文本 Char"/>
    <w:link w:val="5"/>
    <w:qFormat/>
    <w:uiPriority w:val="0"/>
    <w:rPr>
      <w:kern w:val="2"/>
      <w:sz w:val="18"/>
      <w:szCs w:val="18"/>
    </w:rPr>
  </w:style>
  <w:style w:type="character" w:customStyle="1" w:styleId="18">
    <w:name w:val="h1"/>
    <w:basedOn w:val="8"/>
    <w:uiPriority w:val="0"/>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14A829-96E5-4DFB-95BE-F894ED0452A1}">
  <ds:schemaRefs/>
</ds:datastoreItem>
</file>

<file path=docProps/app.xml><?xml version="1.0" encoding="utf-8"?>
<Properties xmlns="http://schemas.openxmlformats.org/officeDocument/2006/extended-properties" xmlns:vt="http://schemas.openxmlformats.org/officeDocument/2006/docPropsVTypes">
  <Template>Normal</Template>
  <Company>深圳市斯尔顿科技有限公司</Company>
  <Pages>5</Pages>
  <Words>495</Words>
  <Characters>2826</Characters>
  <Lines>23</Lines>
  <Paragraphs>6</Paragraphs>
  <TotalTime>0</TotalTime>
  <ScaleCrop>false</ScaleCrop>
  <LinksUpToDate>false</LinksUpToDate>
  <CharactersWithSpaces>3315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2018-04-16T09:57:00Z</dcterms:created>
  <dc:creator>cbex</dc:creator>
  <cp:lastModifiedBy>Administrator</cp:lastModifiedBy>
  <cp:lastPrinted>2018-04-10T01:26:00Z</cp:lastPrinted>
  <dcterms:modified xsi:type="dcterms:W3CDTF">2019-01-08T01:49:46Z</dcterms:modified>
  <dc:title>北京宇信电子有限公司20%股权项目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